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rPr>
        <w:t>20</w:t>
      </w:r>
      <w:r>
        <w:rPr>
          <w:rFonts w:ascii="Arial" w:hAnsi="Arial" w:eastAsia="宋体"/>
          <w:b/>
          <w:bCs/>
          <w:sz w:val="24"/>
          <w:lang w:val="en-GB" w:eastAsia="ja-JP"/>
        </w:rPr>
        <w:tab/>
      </w:r>
      <w:r>
        <w:rPr>
          <w:rFonts w:ascii="Arial" w:hAnsi="Arial" w:eastAsia="宋体"/>
          <w:b/>
          <w:bCs/>
          <w:sz w:val="24"/>
          <w:lang w:val="en-GB" w:eastAsia="ja-JP"/>
        </w:rPr>
        <w:t>R2-221</w:t>
      </w:r>
      <w:r>
        <w:rPr>
          <w:rFonts w:hint="eastAsia" w:ascii="Arial" w:hAnsi="Arial" w:eastAsia="宋体"/>
          <w:b/>
          <w:bCs/>
          <w:sz w:val="24"/>
          <w:lang w:val="en-US" w:eastAsia="zh-CN"/>
        </w:rPr>
        <w:t>1796</w:t>
      </w:r>
    </w:p>
    <w:p>
      <w:pPr>
        <w:tabs>
          <w:tab w:val="right" w:pos="9639"/>
        </w:tabs>
        <w:overflowPunct w:val="0"/>
        <w:autoSpaceDE w:val="0"/>
        <w:autoSpaceDN w:val="0"/>
        <w:adjustRightInd w:val="0"/>
        <w:textAlignment w:val="baseline"/>
        <w:rPr>
          <w:rFonts w:ascii="Arial" w:hAnsi="Arial" w:eastAsia="宋体"/>
          <w:b/>
          <w:bCs/>
          <w:sz w:val="24"/>
          <w:lang w:val="en-GB"/>
        </w:rPr>
      </w:pPr>
      <w:r>
        <w:rPr>
          <w:rFonts w:hint="eastAsia" w:ascii="Arial" w:hAnsi="Arial" w:eastAsia="宋体"/>
          <w:b/>
          <w:bCs/>
          <w:sz w:val="24"/>
        </w:rPr>
        <w:t>Nov</w:t>
      </w:r>
      <w:r>
        <w:rPr>
          <w:rFonts w:ascii="Arial" w:hAnsi="Arial" w:eastAsia="宋体"/>
          <w:b/>
          <w:bCs/>
          <w:sz w:val="24"/>
          <w:lang w:val="en-GB"/>
        </w:rPr>
        <w:t xml:space="preserve"> </w:t>
      </w:r>
      <w:r>
        <w:rPr>
          <w:rFonts w:hint="eastAsia" w:ascii="Arial" w:hAnsi="Arial" w:eastAsia="宋体"/>
          <w:b/>
          <w:bCs/>
          <w:sz w:val="24"/>
        </w:rPr>
        <w:t>14</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18</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NR-DC with selective activation of the cell groups</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8.4.3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szCs w:val="21"/>
        </w:rPr>
        <w:t xml:space="preserve">At last meeting, RAN2 discussed </w:t>
      </w:r>
      <w:r>
        <w:rPr>
          <w:rFonts w:hint="eastAsia"/>
          <w:bCs/>
        </w:rPr>
        <w:t>NR-DC with selective activation of the cell groups</w:t>
      </w:r>
      <w:r>
        <w:rPr>
          <w:szCs w:val="21"/>
        </w:rPr>
        <w:t xml:space="preserve"> and made the following agreements [1]: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bookmarkStart w:id="3" w:name="_Hlk115110994"/>
            <w:r>
              <w:rPr>
                <w:rFonts w:ascii="Arial" w:hAnsi="Arial" w:eastAsia="MS Mincho" w:cs="Times New Roman"/>
                <w:b/>
                <w:szCs w:val="24"/>
                <w:lang w:val="en-GB" w:eastAsia="en-GB" w:bidi="ar-SA"/>
              </w:rPr>
              <w:t>Baseline procedure to support subsequent secondary cell group change (FFS if UE keeps all configurations or if those are indicated by the network, FFS support of nested configs):</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 xml:space="preserve">Step 1: when the execution condition of a CPC candidate PScell is met, a UE performs the execution of CPC towards this candidate PScell. </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b.</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 xml:space="preserve">Step 2: After finishing the PSCell addition or change, the UE doesn’t release conditional configuration of other candidate PSCells for subsequent CPC, the UE continues evaluating the execution conditions of other candidate PScells. </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c.</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Step 3: When the execution condition of a candidate PScell is met, the UE performs the execution of CPC towards this candidate PSCell.</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Confirm that “CPA” selective activation of cell groups will be supported for this WI objective</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Confirm that we aim to support delta configuration, i.e. that there need to be a known reference.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pPr>
            <w:r>
              <w:rPr>
                <w:rFonts w:ascii="Arial" w:hAnsi="Arial" w:eastAsia="MS Mincho" w:cs="Times New Roman"/>
                <w:b/>
                <w:szCs w:val="24"/>
                <w:lang w:val="en-GB" w:eastAsia="en-GB" w:bidi="ar-SA"/>
              </w:rPr>
              <w:t xml:space="preserve">RAN2 aim to support selective activation of cell groups without RRC reconfiguration with respect to security (FFS, need to consult with SA3 at some point in time). </w:t>
            </w:r>
          </w:p>
        </w:tc>
      </w:tr>
      <w:bookmarkEnd w:id="3"/>
    </w:tbl>
    <w:p>
      <w:pPr>
        <w:spacing w:before="120" w:after="0"/>
        <w:rPr>
          <w:szCs w:val="21"/>
        </w:rPr>
      </w:pPr>
      <w:r>
        <w:rPr>
          <w:rFonts w:hint="eastAsia"/>
          <w:szCs w:val="21"/>
        </w:rPr>
        <w:t>In this contribution, we discussed some</w:t>
      </w:r>
      <w:r>
        <w:rPr>
          <w:szCs w:val="21"/>
        </w:rPr>
        <w:t xml:space="preserve"> open issues on </w:t>
      </w:r>
      <w:r>
        <w:rPr>
          <w:rFonts w:hint="eastAsia"/>
          <w:szCs w:val="21"/>
        </w:rPr>
        <w:t xml:space="preserve">NR-DC with selective activation of the cell groups.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pStyle w:val="5"/>
        <w:numPr>
          <w:ilvl w:val="1"/>
          <w:numId w:val="0"/>
        </w:numPr>
        <w:tabs>
          <w:tab w:val="clear" w:pos="432"/>
        </w:tabs>
        <w:rPr>
          <w:lang w:val="en-US"/>
        </w:rPr>
      </w:pPr>
      <w:r>
        <w:rPr>
          <w:rFonts w:hint="eastAsia"/>
          <w:lang w:val="en-US"/>
        </w:rPr>
        <w:t>2.</w:t>
      </w:r>
      <w:r>
        <w:rPr>
          <w:lang w:val="en-US"/>
        </w:rPr>
        <w:t>1</w:t>
      </w:r>
      <w:r>
        <w:rPr>
          <w:rFonts w:hint="eastAsia"/>
          <w:lang w:val="en-US"/>
        </w:rPr>
        <w:t xml:space="preserve"> Applicable scenarios</w:t>
      </w:r>
    </w:p>
    <w:p>
      <w:pPr>
        <w:rPr>
          <w:szCs w:val="21"/>
        </w:rPr>
      </w:pPr>
      <w:r>
        <w:rPr>
          <w:rFonts w:hint="eastAsia"/>
          <w:szCs w:val="21"/>
          <w:lang w:val="en-US" w:eastAsia="zh-CN"/>
        </w:rPr>
        <w:t>RAN2 agreed to support subsequent CPC after a normal or conditional cell group addition/change. However, it</w:t>
      </w:r>
      <w:r>
        <w:rPr>
          <w:rFonts w:hint="default"/>
          <w:szCs w:val="21"/>
          <w:lang w:val="en-US" w:eastAsia="zh-CN"/>
        </w:rPr>
        <w:t>’</w:t>
      </w:r>
      <w:r>
        <w:rPr>
          <w:rFonts w:hint="eastAsia"/>
          <w:szCs w:val="21"/>
          <w:lang w:val="en-US" w:eastAsia="zh-CN"/>
        </w:rPr>
        <w:t xml:space="preserve">s unclear which type of CPC can be used for the subsequent SCG change. </w:t>
      </w:r>
      <w:r>
        <w:rPr>
          <w:rFonts w:hint="eastAsia"/>
          <w:szCs w:val="21"/>
        </w:rPr>
        <w:t>I</w:t>
      </w:r>
      <w:r>
        <w:rPr>
          <w:szCs w:val="21"/>
        </w:rPr>
        <w:t>n Rel-16 and Rel-17, the following types of CPC were introduced:</w:t>
      </w:r>
    </w:p>
    <w:p>
      <w:pPr>
        <w:pStyle w:val="284"/>
        <w:numPr>
          <w:ilvl w:val="0"/>
          <w:numId w:val="5"/>
        </w:numPr>
        <w:ind w:firstLineChars="0"/>
        <w:rPr>
          <w:szCs w:val="21"/>
        </w:rPr>
      </w:pPr>
      <w:r>
        <w:rPr>
          <w:rFonts w:hint="eastAsia"/>
          <w:szCs w:val="21"/>
        </w:rPr>
        <w:t>S</w:t>
      </w:r>
      <w:r>
        <w:rPr>
          <w:szCs w:val="21"/>
        </w:rPr>
        <w:t>N initiated intra-SN CPC</w:t>
      </w:r>
    </w:p>
    <w:p>
      <w:pPr>
        <w:pStyle w:val="284"/>
        <w:numPr>
          <w:ilvl w:val="0"/>
          <w:numId w:val="5"/>
        </w:numPr>
        <w:ind w:firstLineChars="0"/>
        <w:rPr>
          <w:szCs w:val="21"/>
        </w:rPr>
      </w:pPr>
      <w:r>
        <w:rPr>
          <w:rFonts w:hint="eastAsia"/>
          <w:szCs w:val="21"/>
        </w:rPr>
        <w:t>S</w:t>
      </w:r>
      <w:r>
        <w:rPr>
          <w:szCs w:val="21"/>
        </w:rPr>
        <w:t>N initiated inter-SN CPC</w:t>
      </w:r>
    </w:p>
    <w:p>
      <w:pPr>
        <w:pStyle w:val="284"/>
        <w:numPr>
          <w:ilvl w:val="0"/>
          <w:numId w:val="5"/>
        </w:numPr>
        <w:ind w:firstLineChars="0"/>
        <w:rPr>
          <w:szCs w:val="21"/>
        </w:rPr>
      </w:pPr>
      <w:r>
        <w:rPr>
          <w:rFonts w:hint="eastAsia"/>
          <w:szCs w:val="21"/>
        </w:rPr>
        <w:t>M</w:t>
      </w:r>
      <w:r>
        <w:rPr>
          <w:szCs w:val="21"/>
        </w:rPr>
        <w:t>N initiated inter-SN CPC</w:t>
      </w:r>
    </w:p>
    <w:p>
      <w:pPr>
        <w:rPr>
          <w:szCs w:val="21"/>
        </w:rPr>
      </w:pPr>
      <w:r>
        <w:rPr>
          <w:szCs w:val="21"/>
        </w:rPr>
        <w:t xml:space="preserve">For Rel-18 subsequent conditional SCG changes, we think all types of CPC could be considered. Considering that SN initiated CPC is usually used for PSCell change caused by coverage problem (e.g. based on A3/A5 events), while MN initiated CPC is initially defined for PSCell change due to load balance (e.g. based on A4/B1 events), SN initiated CPC is more aligned with the objective of frequent cell group changes in FR2 scenario, i.e. small cell. So it’s proposed to consider the support of SN initiated CPC with high priority. </w:t>
      </w:r>
    </w:p>
    <w:p>
      <w:pPr>
        <w:rPr>
          <w:i/>
          <w:szCs w:val="21"/>
        </w:rPr>
      </w:pPr>
      <w:r>
        <w:rPr>
          <w:i/>
          <w:szCs w:val="21"/>
        </w:rPr>
        <w:t>Observation 1: SN initiated CPC is usually used for PSCell change caused by coverage problem (e.g. based on A3/A5 events), while MN initiated CPC is initially defined for PSCell change due to load balance (e.g. based on A4/B1 events).</w:t>
      </w:r>
    </w:p>
    <w:p>
      <w:pPr>
        <w:rPr>
          <w:szCs w:val="21"/>
        </w:rPr>
      </w:pPr>
      <w:r>
        <w:rPr>
          <w:szCs w:val="21"/>
        </w:rPr>
        <w:t xml:space="preserve">Furthermore, for intra-SN CPC, no security key refresh is expected since the cell group change is performed within one CU. So the security issue caused by the switch back to the previous/same candidate cell can be avoided. </w:t>
      </w:r>
    </w:p>
    <w:p>
      <w:pPr>
        <w:rPr>
          <w:i/>
          <w:szCs w:val="21"/>
        </w:rPr>
      </w:pPr>
      <w:r>
        <w:rPr>
          <w:i/>
          <w:szCs w:val="21"/>
        </w:rPr>
        <w:t xml:space="preserve">Observation 2: For intra-SN CPC, no security key refresh is required for the subsequent </w:t>
      </w:r>
      <w:r>
        <w:rPr>
          <w:rFonts w:hint="eastAsia"/>
          <w:i/>
          <w:szCs w:val="21"/>
          <w:lang w:val="en-US" w:eastAsia="zh-CN"/>
        </w:rPr>
        <w:t>SCG</w:t>
      </w:r>
      <w:r>
        <w:rPr>
          <w:i/>
          <w:szCs w:val="21"/>
        </w:rPr>
        <w:t xml:space="preserve"> change within the same SN. The security key issue caused by the switch back to the previous/same candidate cell can be avoided.</w:t>
      </w:r>
    </w:p>
    <w:p>
      <w:pPr>
        <w:rPr>
          <w:i/>
          <w:szCs w:val="21"/>
        </w:rPr>
      </w:pPr>
      <w:r>
        <w:rPr>
          <w:szCs w:val="21"/>
        </w:rPr>
        <w:t>Besides,</w:t>
      </w:r>
      <w:r>
        <w:rPr>
          <w:rFonts w:hint="eastAsia"/>
          <w:szCs w:val="21"/>
          <w:lang w:val="en-US" w:eastAsia="zh-CN"/>
        </w:rPr>
        <w:t xml:space="preserve"> </w:t>
      </w:r>
      <w:r>
        <w:rPr>
          <w:szCs w:val="21"/>
        </w:rPr>
        <w:t>compared to inter-SN CPC case</w:t>
      </w:r>
      <w:r>
        <w:rPr>
          <w:rFonts w:hint="eastAsia"/>
          <w:szCs w:val="21"/>
          <w:lang w:val="en-US" w:eastAsia="zh-CN"/>
        </w:rPr>
        <w:t>,</w:t>
      </w:r>
      <w:r>
        <w:rPr>
          <w:szCs w:val="21"/>
        </w:rPr>
        <w:t xml:space="preserve"> the generation and interaction on execution conditions for the subsequent </w:t>
      </w:r>
      <w:r>
        <w:rPr>
          <w:rFonts w:hint="eastAsia"/>
          <w:szCs w:val="21"/>
          <w:lang w:val="en-US" w:eastAsia="zh-CN"/>
        </w:rPr>
        <w:t>SCG</w:t>
      </w:r>
      <w:r>
        <w:rPr>
          <w:szCs w:val="21"/>
        </w:rPr>
        <w:t xml:space="preserve"> change within the same SN is easier</w:t>
      </w:r>
      <w:r>
        <w:rPr>
          <w:rFonts w:hint="eastAsia"/>
          <w:szCs w:val="21"/>
          <w:lang w:val="en-US" w:eastAsia="zh-CN"/>
        </w:rPr>
        <w:t xml:space="preserve"> since the SN can generate the execution conditions by itself</w:t>
      </w:r>
      <w:r>
        <w:rPr>
          <w:szCs w:val="21"/>
        </w:rPr>
        <w:t>. Thus, it’s proposed to prioritize SN initiated intra-SN CPC.</w:t>
      </w:r>
    </w:p>
    <w:p>
      <w:pPr>
        <w:rPr>
          <w:i/>
          <w:szCs w:val="21"/>
        </w:rPr>
      </w:pPr>
      <w:r>
        <w:rPr>
          <w:i/>
          <w:szCs w:val="21"/>
        </w:rPr>
        <w:t xml:space="preserve">Observation 3: For intra-SN CPC, the generation and interaction on execution conditions for the subsequent </w:t>
      </w:r>
      <w:r>
        <w:rPr>
          <w:rFonts w:hint="eastAsia"/>
          <w:i/>
          <w:szCs w:val="21"/>
          <w:lang w:val="en-US" w:eastAsia="zh-CN"/>
        </w:rPr>
        <w:t>SCG</w:t>
      </w:r>
      <w:r>
        <w:rPr>
          <w:i/>
          <w:szCs w:val="21"/>
        </w:rPr>
        <w:t xml:space="preserve"> change within the same SN is easier, compared to inter-SN CPC case.</w:t>
      </w:r>
    </w:p>
    <w:p>
      <w:pPr>
        <w:rPr>
          <w:b/>
          <w:szCs w:val="21"/>
        </w:rPr>
      </w:pPr>
      <w:r>
        <w:rPr>
          <w:b/>
          <w:szCs w:val="21"/>
        </w:rPr>
        <w:t xml:space="preserve">Proposal </w:t>
      </w:r>
      <w:r>
        <w:rPr>
          <w:rFonts w:hint="eastAsia"/>
          <w:b/>
          <w:szCs w:val="21"/>
          <w:lang w:val="en-US" w:eastAsia="zh-CN"/>
        </w:rPr>
        <w:t>1</w:t>
      </w:r>
      <w:r>
        <w:rPr>
          <w:b/>
          <w:szCs w:val="21"/>
        </w:rPr>
        <w:t>: RAN2 considers all types of CPC to be applicable for the subsequent conditional SCG change</w:t>
      </w:r>
      <w:r>
        <w:rPr>
          <w:rFonts w:hint="eastAsia"/>
          <w:b/>
          <w:szCs w:val="21"/>
          <w:lang w:val="en-US" w:eastAsia="zh-CN"/>
        </w:rPr>
        <w:t xml:space="preserve"> </w:t>
      </w:r>
      <w:r>
        <w:rPr>
          <w:b/>
          <w:szCs w:val="21"/>
        </w:rPr>
        <w:t>with the following priorit</w:t>
      </w:r>
      <w:r>
        <w:rPr>
          <w:rFonts w:hint="eastAsia"/>
          <w:b/>
          <w:szCs w:val="21"/>
          <w:lang w:val="en-US" w:eastAsia="zh-CN"/>
        </w:rPr>
        <w:t>ies</w:t>
      </w:r>
      <w:r>
        <w:rPr>
          <w:b/>
          <w:szCs w:val="21"/>
        </w:rPr>
        <w:t>:</w:t>
      </w:r>
    </w:p>
    <w:p>
      <w:pPr>
        <w:rPr>
          <w:rFonts w:hint="default" w:eastAsiaTheme="minorEastAsia"/>
          <w:b/>
          <w:szCs w:val="21"/>
          <w:lang w:val="en-US" w:eastAsia="zh-CN"/>
        </w:rPr>
      </w:pPr>
      <w:r>
        <w:rPr>
          <w:b/>
          <w:szCs w:val="21"/>
        </w:rPr>
        <w:t>a.</w:t>
      </w:r>
      <w:r>
        <w:rPr>
          <w:b/>
          <w:szCs w:val="21"/>
        </w:rPr>
        <w:tab/>
      </w:r>
      <w:r>
        <w:rPr>
          <w:b/>
          <w:szCs w:val="21"/>
        </w:rPr>
        <w:t>SN initiated intra-SN CPC</w:t>
      </w:r>
      <w:r>
        <w:rPr>
          <w:rFonts w:hint="eastAsia"/>
          <w:b/>
          <w:szCs w:val="21"/>
          <w:lang w:val="en-US" w:eastAsia="zh-CN"/>
        </w:rPr>
        <w:t xml:space="preserve"> - high priority</w:t>
      </w:r>
    </w:p>
    <w:p>
      <w:pPr>
        <w:rPr>
          <w:rFonts w:hint="default" w:eastAsiaTheme="minorEastAsia"/>
          <w:b/>
          <w:szCs w:val="21"/>
          <w:lang w:val="en-US" w:eastAsia="zh-CN"/>
        </w:rPr>
      </w:pPr>
      <w:r>
        <w:rPr>
          <w:b/>
          <w:szCs w:val="21"/>
        </w:rPr>
        <w:t>b.</w:t>
      </w:r>
      <w:r>
        <w:rPr>
          <w:b/>
          <w:szCs w:val="21"/>
        </w:rPr>
        <w:tab/>
      </w:r>
      <w:r>
        <w:rPr>
          <w:b/>
          <w:szCs w:val="21"/>
        </w:rPr>
        <w:t>SN initiated inter-SN CPC</w:t>
      </w:r>
      <w:r>
        <w:rPr>
          <w:rFonts w:hint="eastAsia"/>
          <w:b/>
          <w:szCs w:val="21"/>
          <w:lang w:val="en-US" w:eastAsia="zh-CN"/>
        </w:rPr>
        <w:t xml:space="preserve"> - medium priority</w:t>
      </w:r>
    </w:p>
    <w:p>
      <w:pPr>
        <w:rPr>
          <w:b/>
          <w:szCs w:val="21"/>
        </w:rPr>
      </w:pPr>
      <w:r>
        <w:rPr>
          <w:b/>
          <w:szCs w:val="21"/>
        </w:rPr>
        <w:t>c.</w:t>
      </w:r>
      <w:r>
        <w:rPr>
          <w:b/>
          <w:szCs w:val="21"/>
        </w:rPr>
        <w:tab/>
      </w:r>
      <w:r>
        <w:rPr>
          <w:b/>
          <w:szCs w:val="21"/>
        </w:rPr>
        <w:t>MN initiated inter-SN CPC</w:t>
      </w:r>
      <w:r>
        <w:rPr>
          <w:rFonts w:hint="eastAsia"/>
          <w:b/>
          <w:szCs w:val="21"/>
          <w:lang w:val="en-US" w:eastAsia="zh-CN"/>
        </w:rPr>
        <w:t xml:space="preserve"> - low priority </w:t>
      </w:r>
    </w:p>
    <w:p>
      <w:pPr>
        <w:rPr>
          <w:szCs w:val="21"/>
        </w:rPr>
      </w:pPr>
      <w:r>
        <w:rPr>
          <w:szCs w:val="21"/>
        </w:rPr>
        <w:t>At last meeting, RAN2 made an initial agreement that the support of subsequent conditional cell group change initially focuses on SCG change. However, support of MCG change shall also have some benefit</w:t>
      </w:r>
      <w:r>
        <w:rPr>
          <w:rFonts w:hint="eastAsia"/>
          <w:szCs w:val="21"/>
          <w:lang w:val="en-US" w:eastAsia="zh-CN"/>
        </w:rPr>
        <w:t>s</w:t>
      </w:r>
      <w:r>
        <w:rPr>
          <w:szCs w:val="21"/>
        </w:rPr>
        <w:t xml:space="preserve"> in FR2 scenarios, considering that frequency HO may </w:t>
      </w:r>
      <w:r>
        <w:rPr>
          <w:rFonts w:hint="eastAsia"/>
          <w:szCs w:val="21"/>
          <w:lang w:val="en-US" w:eastAsia="zh-CN"/>
        </w:rPr>
        <w:t>happen</w:t>
      </w:r>
      <w:r>
        <w:rPr>
          <w:szCs w:val="21"/>
        </w:rPr>
        <w:t xml:space="preserve"> due to the smaller cell coverage. The overall procedure for subsequent conditional MCG change (i.e. CHO) is similar to the subsequent conditional SCG change (i.e. CPC). Thus, it seems no much extra spec impact is required to support MCG change once the work on SCG change is completed, </w:t>
      </w:r>
      <w:r>
        <w:rPr>
          <w:rFonts w:hint="eastAsia"/>
          <w:szCs w:val="21"/>
          <w:lang w:val="en-US" w:eastAsia="zh-CN"/>
        </w:rPr>
        <w:t>at least</w:t>
      </w:r>
      <w:r>
        <w:rPr>
          <w:szCs w:val="21"/>
        </w:rPr>
        <w:t xml:space="preserve"> for intra-CU/intra-MN MCG change</w:t>
      </w:r>
      <w:r>
        <w:rPr>
          <w:rFonts w:hint="eastAsia"/>
          <w:szCs w:val="21"/>
          <w:lang w:val="en-US" w:eastAsia="zh-CN"/>
        </w:rPr>
        <w:t xml:space="preserve"> without SN involvement</w:t>
      </w:r>
      <w:r>
        <w:rPr>
          <w:szCs w:val="21"/>
        </w:rPr>
        <w:t xml:space="preserve">. </w:t>
      </w:r>
    </w:p>
    <w:p>
      <w:pPr>
        <w:rPr>
          <w:szCs w:val="21"/>
        </w:rPr>
      </w:pPr>
      <w:r>
        <w:rPr>
          <w:i/>
          <w:szCs w:val="21"/>
        </w:rPr>
        <w:t>Observation 4: The support of subsequent conditional MCG change shares the same benefits as SCG change in FR2 scenario. No much extra work is required to support MCG change once the work on SCG change is completed, considering that the overall procedure for CHO and CPC is similar.</w:t>
      </w:r>
    </w:p>
    <w:p>
      <w:pPr>
        <w:rPr>
          <w:szCs w:val="21"/>
        </w:rPr>
      </w:pPr>
      <w:r>
        <w:rPr>
          <w:szCs w:val="21"/>
        </w:rPr>
        <w:t xml:space="preserve">Thus, we propose to also consider the support of subsequent conditional MCG change after a normal or conditional cell group change, at least for intra-CU MCG change </w:t>
      </w:r>
      <w:r>
        <w:rPr>
          <w:rFonts w:hint="eastAsia"/>
          <w:szCs w:val="21"/>
          <w:lang w:val="en-US" w:eastAsia="zh-CN"/>
        </w:rPr>
        <w:t>without SN involvement</w:t>
      </w:r>
      <w:r>
        <w:rPr>
          <w:szCs w:val="21"/>
        </w:rPr>
        <w:t xml:space="preserve">. </w:t>
      </w:r>
    </w:p>
    <w:p>
      <w:pPr>
        <w:rPr>
          <w:b/>
          <w:szCs w:val="21"/>
        </w:rPr>
      </w:pPr>
      <w:r>
        <w:rPr>
          <w:b/>
          <w:szCs w:val="21"/>
        </w:rPr>
        <w:t xml:space="preserve">Proposal </w:t>
      </w:r>
      <w:r>
        <w:rPr>
          <w:rFonts w:hint="eastAsia"/>
          <w:b/>
          <w:szCs w:val="21"/>
          <w:lang w:val="en-US" w:eastAsia="zh-CN"/>
        </w:rPr>
        <w:t>2</w:t>
      </w:r>
      <w:r>
        <w:rPr>
          <w:b/>
          <w:szCs w:val="21"/>
        </w:rPr>
        <w:t xml:space="preserve">: RAN2 also considers to support subsequent conditional MCG change after a normal or conditional cell group change, at least for intra-CU MCG change </w:t>
      </w:r>
      <w:r>
        <w:rPr>
          <w:rFonts w:hint="eastAsia"/>
          <w:b/>
          <w:szCs w:val="21"/>
          <w:lang w:val="en-US" w:eastAsia="zh-CN"/>
        </w:rPr>
        <w:t>without SN involvement</w:t>
      </w:r>
      <w:r>
        <w:rPr>
          <w:b/>
          <w:szCs w:val="21"/>
        </w:rPr>
        <w:t>.</w:t>
      </w:r>
    </w:p>
    <w:p>
      <w:pPr>
        <w:pStyle w:val="5"/>
        <w:numPr>
          <w:ilvl w:val="1"/>
          <w:numId w:val="0"/>
        </w:numPr>
        <w:tabs>
          <w:tab w:val="clear" w:pos="432"/>
        </w:tabs>
        <w:rPr>
          <w:lang w:val="en-US"/>
        </w:rPr>
      </w:pPr>
      <w:r>
        <w:rPr>
          <w:rFonts w:hint="eastAsia"/>
          <w:lang w:val="en-US"/>
        </w:rPr>
        <w:t>2.</w:t>
      </w:r>
      <w:r>
        <w:rPr>
          <w:lang w:val="en-US"/>
        </w:rPr>
        <w:t>2</w:t>
      </w:r>
      <w:r>
        <w:rPr>
          <w:rFonts w:hint="eastAsia"/>
          <w:lang w:val="en-US"/>
        </w:rPr>
        <w:t xml:space="preserve"> </w:t>
      </w:r>
      <w:r>
        <w:rPr>
          <w:lang w:val="en-US"/>
        </w:rPr>
        <w:t>Possible aspects to improve</w:t>
      </w:r>
    </w:p>
    <w:p>
      <w:pPr>
        <w:rPr>
          <w:b/>
          <w:i/>
          <w:szCs w:val="21"/>
          <w:u w:val="single"/>
        </w:rPr>
      </w:pPr>
      <w:r>
        <w:rPr>
          <w:b/>
          <w:i/>
          <w:szCs w:val="21"/>
          <w:u w:val="single"/>
        </w:rPr>
        <w:t>Issue 1: How to configure multiple candidate cell group configurations?</w:t>
      </w:r>
    </w:p>
    <w:p>
      <w:pPr>
        <w:rPr>
          <w:szCs w:val="21"/>
        </w:rPr>
      </w:pPr>
      <w:r>
        <w:rPr>
          <w:szCs w:val="21"/>
        </w:rPr>
        <w:t xml:space="preserve">Regarding how to configure multiple candidate cell groups, delta configuration is excepted to be supported to reduce the signalling overhead. However, the delta configuration for candidate cell groups is usually configured based on the source configuration (i.e. the serving cell configuration when the UE receives </w:t>
      </w:r>
      <w:r>
        <w:rPr>
          <w:i/>
          <w:szCs w:val="21"/>
        </w:rPr>
        <w:t>RRCReconfiguration</w:t>
      </w:r>
      <w:r>
        <w:rPr>
          <w:szCs w:val="21"/>
        </w:rPr>
        <w:t xml:space="preserve"> message including multiple candidate cell group configurations). When the UE completes one cell group addition or change, i.e. switches to the target cell group, the stored candidate cell group configuration may become invalid. </w:t>
      </w:r>
    </w:p>
    <w:p>
      <w:pPr>
        <w:rPr>
          <w:i/>
          <w:iCs/>
          <w:szCs w:val="21"/>
        </w:rPr>
      </w:pPr>
      <w:r>
        <w:rPr>
          <w:rFonts w:hint="eastAsia"/>
          <w:i/>
          <w:iCs/>
          <w:szCs w:val="21"/>
        </w:rPr>
        <w:t xml:space="preserve">Observation </w:t>
      </w:r>
      <w:r>
        <w:rPr>
          <w:i/>
          <w:iCs/>
          <w:szCs w:val="21"/>
        </w:rPr>
        <w:t>5</w:t>
      </w:r>
      <w:r>
        <w:rPr>
          <w:rFonts w:hint="eastAsia"/>
          <w:i/>
          <w:iCs/>
          <w:szCs w:val="21"/>
        </w:rPr>
        <w:t xml:space="preserve">: In case that the candidate </w:t>
      </w:r>
      <w:r>
        <w:rPr>
          <w:i/>
          <w:iCs/>
          <w:szCs w:val="21"/>
        </w:rPr>
        <w:t>cell group</w:t>
      </w:r>
      <w:r>
        <w:rPr>
          <w:rFonts w:hint="eastAsia"/>
          <w:i/>
          <w:iCs/>
          <w:szCs w:val="21"/>
        </w:rPr>
        <w:t xml:space="preserve"> configuration is the delta configuration based on the source configuration, the stored candidate </w:t>
      </w:r>
      <w:r>
        <w:rPr>
          <w:i/>
          <w:iCs/>
          <w:szCs w:val="21"/>
        </w:rPr>
        <w:t>cell group</w:t>
      </w:r>
      <w:r>
        <w:rPr>
          <w:rFonts w:hint="eastAsia"/>
          <w:i/>
          <w:iCs/>
          <w:szCs w:val="21"/>
        </w:rPr>
        <w:t xml:space="preserve"> configuration</w:t>
      </w:r>
      <w:r>
        <w:rPr>
          <w:i/>
          <w:iCs/>
          <w:szCs w:val="21"/>
        </w:rPr>
        <w:t>s</w:t>
      </w:r>
      <w:r>
        <w:rPr>
          <w:rFonts w:hint="eastAsia"/>
          <w:i/>
          <w:iCs/>
          <w:szCs w:val="21"/>
        </w:rPr>
        <w:t xml:space="preserve"> may become invalid after completion of one </w:t>
      </w:r>
      <w:r>
        <w:rPr>
          <w:i/>
          <w:iCs/>
          <w:szCs w:val="21"/>
        </w:rPr>
        <w:t>cell group addition or</w:t>
      </w:r>
      <w:r>
        <w:rPr>
          <w:rFonts w:hint="eastAsia"/>
          <w:i/>
          <w:iCs/>
          <w:szCs w:val="21"/>
        </w:rPr>
        <w:t xml:space="preserve"> change. </w:t>
      </w:r>
    </w:p>
    <w:p>
      <w:pPr>
        <w:rPr>
          <w:szCs w:val="21"/>
        </w:rPr>
      </w:pPr>
      <w:r>
        <w:rPr>
          <w:szCs w:val="21"/>
        </w:rPr>
        <w:t>In order to keep the stored candidate cell group configurations valid after completion of one cell group addition or change, there are two options can be considered to handle the delta configuration for candidate cell groups.</w:t>
      </w:r>
    </w:p>
    <w:p>
      <w:pPr>
        <w:numPr>
          <w:ilvl w:val="0"/>
          <w:numId w:val="6"/>
        </w:numPr>
        <w:rPr>
          <w:szCs w:val="21"/>
        </w:rPr>
      </w:pPr>
      <w:r>
        <w:rPr>
          <w:szCs w:val="21"/>
        </w:rPr>
        <w:t xml:space="preserve">Option </w:t>
      </w:r>
      <w:r>
        <w:rPr>
          <w:rFonts w:hint="eastAsia"/>
          <w:szCs w:val="21"/>
        </w:rPr>
        <w:t xml:space="preserve">1: </w:t>
      </w:r>
      <w:r>
        <w:rPr>
          <w:szCs w:val="21"/>
        </w:rPr>
        <w:t xml:space="preserve">the </w:t>
      </w:r>
      <w:r>
        <w:rPr>
          <w:rFonts w:hint="eastAsia"/>
          <w:szCs w:val="21"/>
        </w:rPr>
        <w:t xml:space="preserve">UE </w:t>
      </w:r>
      <w:r>
        <w:rPr>
          <w:szCs w:val="21"/>
        </w:rPr>
        <w:t xml:space="preserve">always </w:t>
      </w:r>
      <w:r>
        <w:rPr>
          <w:rFonts w:hint="eastAsia"/>
          <w:szCs w:val="21"/>
        </w:rPr>
        <w:t>store</w:t>
      </w:r>
      <w:r>
        <w:rPr>
          <w:szCs w:val="21"/>
        </w:rPr>
        <w:t>s</w:t>
      </w:r>
      <w:r>
        <w:rPr>
          <w:rFonts w:hint="eastAsia"/>
          <w:szCs w:val="21"/>
        </w:rPr>
        <w:t xml:space="preserve"> the baseline or reference configuration</w:t>
      </w:r>
      <w:r>
        <w:rPr>
          <w:szCs w:val="21"/>
        </w:rPr>
        <w:t xml:space="preserve">, and applies the candidate cell group configuration based on the </w:t>
      </w:r>
      <w:r>
        <w:rPr>
          <w:rFonts w:hint="eastAsia"/>
          <w:szCs w:val="21"/>
        </w:rPr>
        <w:t>baseline or reference configuration.</w:t>
      </w:r>
    </w:p>
    <w:p>
      <w:pPr>
        <w:numPr>
          <w:ilvl w:val="0"/>
          <w:numId w:val="6"/>
        </w:numPr>
        <w:rPr>
          <w:szCs w:val="21"/>
        </w:rPr>
      </w:pPr>
      <w:r>
        <w:rPr>
          <w:szCs w:val="21"/>
        </w:rPr>
        <w:t>Option</w:t>
      </w:r>
      <w:r>
        <w:rPr>
          <w:rFonts w:hint="eastAsia"/>
          <w:szCs w:val="21"/>
        </w:rPr>
        <w:t xml:space="preserve"> 2: </w:t>
      </w:r>
      <w:r>
        <w:rPr>
          <w:szCs w:val="21"/>
        </w:rPr>
        <w:t xml:space="preserve">the </w:t>
      </w:r>
      <w:r>
        <w:rPr>
          <w:rFonts w:hint="eastAsia"/>
          <w:szCs w:val="21"/>
        </w:rPr>
        <w:t xml:space="preserve">UE translates the received delta configuration for candidate </w:t>
      </w:r>
      <w:r>
        <w:rPr>
          <w:szCs w:val="21"/>
        </w:rPr>
        <w:t>cell group</w:t>
      </w:r>
      <w:r>
        <w:rPr>
          <w:rFonts w:hint="eastAsia"/>
          <w:szCs w:val="21"/>
        </w:rPr>
        <w:t>s into full configuration and store</w:t>
      </w:r>
      <w:r>
        <w:rPr>
          <w:szCs w:val="21"/>
        </w:rPr>
        <w:t>s</w:t>
      </w:r>
      <w:r>
        <w:rPr>
          <w:rFonts w:hint="eastAsia"/>
          <w:szCs w:val="21"/>
        </w:rPr>
        <w:t xml:space="preserve"> the translated full configuration.</w:t>
      </w:r>
    </w:p>
    <w:p>
      <w:pPr>
        <w:rPr>
          <w:szCs w:val="21"/>
        </w:rPr>
      </w:pPr>
      <w:r>
        <w:rPr>
          <w:rFonts w:hint="eastAsia"/>
          <w:szCs w:val="21"/>
        </w:rPr>
        <w:t xml:space="preserve">Each </w:t>
      </w:r>
      <w:r>
        <w:rPr>
          <w:szCs w:val="21"/>
        </w:rPr>
        <w:t>option</w:t>
      </w:r>
      <w:r>
        <w:rPr>
          <w:rFonts w:hint="eastAsia"/>
          <w:szCs w:val="21"/>
        </w:rPr>
        <w:t xml:space="preserve"> is a possible way to handle the delta configuration </w:t>
      </w:r>
      <w:r>
        <w:rPr>
          <w:szCs w:val="21"/>
        </w:rPr>
        <w:t>problem</w:t>
      </w:r>
      <w:r>
        <w:rPr>
          <w:rFonts w:hint="eastAsia"/>
          <w:szCs w:val="21"/>
        </w:rPr>
        <w:t xml:space="preserve">. But the </w:t>
      </w:r>
      <w:r>
        <w:rPr>
          <w:szCs w:val="21"/>
        </w:rPr>
        <w:t>option</w:t>
      </w:r>
      <w:r>
        <w:rPr>
          <w:rFonts w:hint="eastAsia"/>
          <w:szCs w:val="21"/>
        </w:rPr>
        <w:t xml:space="preserve"> 2 may need larger UE buffer to store full configuration for multiple candidate </w:t>
      </w:r>
      <w:r>
        <w:rPr>
          <w:szCs w:val="21"/>
        </w:rPr>
        <w:t>cell group</w:t>
      </w:r>
      <w:r>
        <w:rPr>
          <w:rFonts w:hint="eastAsia"/>
          <w:szCs w:val="21"/>
        </w:rPr>
        <w:t xml:space="preserve">s. So </w:t>
      </w:r>
      <w:r>
        <w:rPr>
          <w:szCs w:val="21"/>
        </w:rPr>
        <w:t xml:space="preserve">option </w:t>
      </w:r>
      <w:r>
        <w:rPr>
          <w:rFonts w:hint="eastAsia"/>
          <w:szCs w:val="21"/>
        </w:rPr>
        <w:t xml:space="preserve">1 is preferred. </w:t>
      </w:r>
      <w:r>
        <w:rPr>
          <w:szCs w:val="21"/>
        </w:rPr>
        <w:t xml:space="preserve">For option 1, the NW can indicate which configuration is to be used as the baseline/reference configuration, e.g. the source configuration or any other </w:t>
      </w:r>
      <w:r>
        <w:rPr>
          <w:rFonts w:hint="eastAsia"/>
          <w:szCs w:val="21"/>
          <w:lang w:val="en-US" w:eastAsia="zh-CN"/>
        </w:rPr>
        <w:t>reference</w:t>
      </w:r>
      <w:r>
        <w:rPr>
          <w:szCs w:val="21"/>
        </w:rPr>
        <w:t xml:space="preserve"> cell group configuration. Then both the NW and the UE shall apply the candidate cell group configuration based on the baseline/reference configuration when the subsequent execution of cell group change, to avoid the configuration misalignment between the UE side and the NW side. </w:t>
      </w:r>
    </w:p>
    <w:p>
      <w:pPr>
        <w:rPr>
          <w:b/>
          <w:szCs w:val="21"/>
        </w:rPr>
      </w:pPr>
      <w:r>
        <w:rPr>
          <w:b/>
          <w:szCs w:val="21"/>
        </w:rPr>
        <w:t xml:space="preserve">Proposal </w:t>
      </w:r>
      <w:r>
        <w:rPr>
          <w:rFonts w:hint="eastAsia"/>
          <w:b/>
          <w:szCs w:val="21"/>
          <w:lang w:val="en-US" w:eastAsia="zh-CN"/>
        </w:rPr>
        <w:t>3</w:t>
      </w:r>
      <w:r>
        <w:rPr>
          <w:b/>
          <w:szCs w:val="21"/>
        </w:rPr>
        <w:t xml:space="preserve">: The NW indicates which configuration to be used as the baseline/reference configuration for the delta configuration of candidate cell group configurations, e.g. the source configuration or any other </w:t>
      </w:r>
      <w:r>
        <w:rPr>
          <w:rFonts w:hint="eastAsia"/>
          <w:b/>
          <w:szCs w:val="21"/>
          <w:lang w:val="en-US" w:eastAsia="zh-CN"/>
        </w:rPr>
        <w:t>reference</w:t>
      </w:r>
      <w:r>
        <w:rPr>
          <w:b/>
          <w:szCs w:val="21"/>
        </w:rPr>
        <w:t xml:space="preserve"> cell group configuration.</w:t>
      </w:r>
    </w:p>
    <w:p>
      <w:pPr>
        <w:rPr>
          <w:b/>
          <w:szCs w:val="21"/>
        </w:rPr>
      </w:pPr>
      <w:r>
        <w:rPr>
          <w:b/>
          <w:szCs w:val="21"/>
        </w:rPr>
        <w:t xml:space="preserve">Proposal </w:t>
      </w:r>
      <w:r>
        <w:rPr>
          <w:rFonts w:hint="eastAsia"/>
          <w:b/>
          <w:szCs w:val="21"/>
          <w:lang w:val="en-US" w:eastAsia="zh-CN"/>
        </w:rPr>
        <w:t>4</w:t>
      </w:r>
      <w:r>
        <w:rPr>
          <w:b/>
          <w:szCs w:val="21"/>
        </w:rPr>
        <w:t xml:space="preserve">: The </w:t>
      </w:r>
      <w:r>
        <w:rPr>
          <w:rFonts w:hint="eastAsia"/>
          <w:b/>
          <w:szCs w:val="21"/>
        </w:rPr>
        <w:t xml:space="preserve">UE </w:t>
      </w:r>
      <w:r>
        <w:rPr>
          <w:b/>
          <w:szCs w:val="21"/>
        </w:rPr>
        <w:t xml:space="preserve">always </w:t>
      </w:r>
      <w:r>
        <w:rPr>
          <w:rFonts w:hint="eastAsia"/>
          <w:b/>
          <w:szCs w:val="21"/>
        </w:rPr>
        <w:t>store</w:t>
      </w:r>
      <w:r>
        <w:rPr>
          <w:b/>
          <w:szCs w:val="21"/>
        </w:rPr>
        <w:t>s</w:t>
      </w:r>
      <w:r>
        <w:rPr>
          <w:rFonts w:hint="eastAsia"/>
          <w:b/>
          <w:szCs w:val="21"/>
        </w:rPr>
        <w:t xml:space="preserve"> the baseline</w:t>
      </w:r>
      <w:r>
        <w:rPr>
          <w:b/>
          <w:szCs w:val="21"/>
        </w:rPr>
        <w:t>/</w:t>
      </w:r>
      <w:r>
        <w:rPr>
          <w:rFonts w:hint="eastAsia"/>
          <w:b/>
          <w:szCs w:val="21"/>
        </w:rPr>
        <w:t>reference configuration</w:t>
      </w:r>
      <w:r>
        <w:rPr>
          <w:b/>
          <w:szCs w:val="21"/>
        </w:rPr>
        <w:t xml:space="preserve">, and applies the candidate cell group configuration based on the </w:t>
      </w:r>
      <w:r>
        <w:rPr>
          <w:rFonts w:hint="eastAsia"/>
          <w:b/>
          <w:szCs w:val="21"/>
        </w:rPr>
        <w:t>baseline</w:t>
      </w:r>
      <w:r>
        <w:rPr>
          <w:b/>
          <w:szCs w:val="21"/>
        </w:rPr>
        <w:t>/</w:t>
      </w:r>
      <w:r>
        <w:rPr>
          <w:rFonts w:hint="eastAsia"/>
          <w:b/>
          <w:szCs w:val="21"/>
        </w:rPr>
        <w:t>reference configuration</w:t>
      </w:r>
      <w:r>
        <w:rPr>
          <w:b/>
          <w:szCs w:val="21"/>
        </w:rPr>
        <w:t xml:space="preserve"> upon the execution of cell group change.</w:t>
      </w:r>
    </w:p>
    <w:p>
      <w:pPr>
        <w:rPr>
          <w:szCs w:val="21"/>
        </w:rPr>
      </w:pPr>
      <w:r>
        <w:rPr>
          <w:szCs w:val="21"/>
        </w:rPr>
        <w:t xml:space="preserve">In Rel-16 and Rel-17 CPAC, the UE shall autonomously release all stored candidate cell group configurations upon successful completion of a normal or conditional PSCell addition/change. In order to make full use of the candidate cell group configurations for subsequent cell group change, the UE is required to maintain the candidate cell group configurations after completion of a normal or conditional PSCell addition/change. So the NW should indicate that the UE maintains the candidate cell group configurations, e.g. via an explicit or implicit indication. Furthermore, the NW may want to only keep a subset of candidate cell groups for the subsequent cell group change, e.g. to avoid large resource reserve. So we </w:t>
      </w:r>
      <w:r>
        <w:rPr>
          <w:rFonts w:hint="eastAsia"/>
          <w:szCs w:val="21"/>
          <w:lang w:val="en-US" w:eastAsia="zh-CN"/>
        </w:rPr>
        <w:t>think</w:t>
      </w:r>
      <w:r>
        <w:rPr>
          <w:szCs w:val="21"/>
        </w:rPr>
        <w:t xml:space="preserve"> the NW can also indicate which candidate cell groups </w:t>
      </w:r>
      <w:r>
        <w:rPr>
          <w:rFonts w:hint="eastAsia"/>
          <w:szCs w:val="21"/>
          <w:lang w:val="en-US" w:eastAsia="zh-CN"/>
        </w:rPr>
        <w:t>shall be</w:t>
      </w:r>
      <w:r>
        <w:rPr>
          <w:szCs w:val="21"/>
        </w:rPr>
        <w:t xml:space="preserve"> kept or remove</w:t>
      </w:r>
      <w:r>
        <w:rPr>
          <w:rFonts w:hint="eastAsia"/>
          <w:szCs w:val="21"/>
          <w:lang w:val="en-US" w:eastAsia="zh-CN"/>
        </w:rPr>
        <w:t>d</w:t>
      </w:r>
      <w:r>
        <w:rPr>
          <w:szCs w:val="21"/>
        </w:rPr>
        <w:t xml:space="preserve"> upon completion of a normal or conditional cell group addition/change, e.g. introduce a per-cell indication for each candidate cell group configuration.</w:t>
      </w:r>
    </w:p>
    <w:p>
      <w:pPr>
        <w:rPr>
          <w:b/>
          <w:szCs w:val="21"/>
        </w:rPr>
      </w:pPr>
      <w:r>
        <w:rPr>
          <w:b/>
          <w:szCs w:val="21"/>
        </w:rPr>
        <w:t xml:space="preserve">Proposal </w:t>
      </w:r>
      <w:r>
        <w:rPr>
          <w:rFonts w:hint="eastAsia"/>
          <w:b/>
          <w:szCs w:val="21"/>
          <w:lang w:val="en-US" w:eastAsia="zh-CN"/>
        </w:rPr>
        <w:t>5</w:t>
      </w:r>
      <w:r>
        <w:rPr>
          <w:b/>
          <w:szCs w:val="21"/>
        </w:rPr>
        <w:t xml:space="preserve">: The NW </w:t>
      </w:r>
      <w:r>
        <w:rPr>
          <w:rFonts w:hint="eastAsia"/>
          <w:b/>
          <w:szCs w:val="21"/>
          <w:lang w:val="en-US" w:eastAsia="zh-CN"/>
        </w:rPr>
        <w:t xml:space="preserve">explicitly </w:t>
      </w:r>
      <w:r>
        <w:rPr>
          <w:b/>
          <w:szCs w:val="21"/>
        </w:rPr>
        <w:t xml:space="preserve">indicates </w:t>
      </w:r>
      <w:bookmarkStart w:id="4" w:name="_Hlk115094752"/>
      <w:r>
        <w:rPr>
          <w:rFonts w:hint="eastAsia"/>
          <w:b/>
          <w:szCs w:val="21"/>
          <w:lang w:val="en-US" w:eastAsia="zh-CN"/>
        </w:rPr>
        <w:t>which</w:t>
      </w:r>
      <w:r>
        <w:rPr>
          <w:b/>
          <w:szCs w:val="21"/>
        </w:rPr>
        <w:t xml:space="preserve"> candidate cell group configurations</w:t>
      </w:r>
      <w:bookmarkEnd w:id="4"/>
      <w:r>
        <w:rPr>
          <w:b/>
          <w:szCs w:val="21"/>
        </w:rPr>
        <w:t xml:space="preserve"> </w:t>
      </w:r>
      <w:r>
        <w:rPr>
          <w:rFonts w:hint="eastAsia"/>
          <w:b/>
          <w:szCs w:val="21"/>
          <w:lang w:val="en-US" w:eastAsia="zh-CN"/>
        </w:rPr>
        <w:t xml:space="preserve">to be maintained </w:t>
      </w:r>
      <w:r>
        <w:rPr>
          <w:b/>
          <w:szCs w:val="21"/>
        </w:rPr>
        <w:t xml:space="preserve">after completion of a normal or conditional cell group addition/change. </w:t>
      </w:r>
    </w:p>
    <w:p>
      <w:pPr>
        <w:rPr>
          <w:b/>
          <w:szCs w:val="21"/>
        </w:rPr>
      </w:pPr>
    </w:p>
    <w:p>
      <w:pPr>
        <w:rPr>
          <w:b/>
          <w:i/>
          <w:szCs w:val="21"/>
          <w:u w:val="single"/>
        </w:rPr>
      </w:pPr>
      <w:r>
        <w:rPr>
          <w:b/>
          <w:i/>
          <w:szCs w:val="21"/>
          <w:u w:val="single"/>
        </w:rPr>
        <w:t>Issue 2: How to provide execution conditions for subsequent conditional changes?</w:t>
      </w:r>
    </w:p>
    <w:p>
      <w:pPr>
        <w:rPr>
          <w:szCs w:val="21"/>
        </w:rPr>
      </w:pPr>
      <w:r>
        <w:rPr>
          <w:szCs w:val="21"/>
        </w:rPr>
        <w:t xml:space="preserve">For conditional cell group change, execution conditions should be pre-configured by the NW before the UE triggers the execution of cell group change. In the Rel-16 and Rel-17 CPAC, the execution conditions are provided by the MN or the source SN (i.e. source SN for SN initiated CPC, MN for MN initiated CPC), based on the source MCG or SCG measurement configuration. The same principle for execution conditions determination can be applicable to the subsequent conditional cell group change. Namely, </w:t>
      </w:r>
      <w:bookmarkStart w:id="5" w:name="_Hlk115096044"/>
      <w:r>
        <w:rPr>
          <w:szCs w:val="21"/>
        </w:rPr>
        <w:t>the MN decides the execution conditions for the subsequent MN initiated CPC. The (target) SN decides the execution conditions for the subsequent SN initiated CPC</w:t>
      </w:r>
      <w:bookmarkEnd w:id="5"/>
      <w:r>
        <w:rPr>
          <w:szCs w:val="21"/>
        </w:rPr>
        <w:t>.</w:t>
      </w:r>
    </w:p>
    <w:p>
      <w:pPr>
        <w:rPr>
          <w:szCs w:val="21"/>
        </w:rPr>
      </w:pPr>
      <w:r>
        <w:rPr>
          <w:b/>
          <w:szCs w:val="21"/>
        </w:rPr>
        <w:t xml:space="preserve">Proposal </w:t>
      </w:r>
      <w:r>
        <w:rPr>
          <w:rFonts w:hint="eastAsia"/>
          <w:b/>
          <w:szCs w:val="21"/>
          <w:lang w:val="en-US" w:eastAsia="zh-CN"/>
        </w:rPr>
        <w:t>6</w:t>
      </w:r>
      <w:r>
        <w:rPr>
          <w:b/>
          <w:szCs w:val="21"/>
        </w:rPr>
        <w:t>: For subsequent conditional SCG change, the MN decides execution conditions for the subsequent MN initiated CPC. The (target) SN decides execution conditions for the subsequent SN initiated CPC.</w:t>
      </w:r>
    </w:p>
    <w:p>
      <w:pPr>
        <w:rPr>
          <w:szCs w:val="21"/>
        </w:rPr>
      </w:pPr>
      <w:r>
        <w:rPr>
          <w:szCs w:val="21"/>
        </w:rPr>
        <w:t xml:space="preserve">Since the initial execution conditions are provided based on the source </w:t>
      </w:r>
      <w:r>
        <w:rPr>
          <w:rFonts w:hint="eastAsia"/>
          <w:szCs w:val="21"/>
          <w:lang w:val="en-US" w:eastAsia="zh-CN"/>
        </w:rPr>
        <w:t xml:space="preserve">MCG or SCG measurement </w:t>
      </w:r>
      <w:r>
        <w:rPr>
          <w:szCs w:val="21"/>
        </w:rPr>
        <w:t>configuration, the execution conditions may become invalid after one execution of conditional or normal PSCell addition/change. The NW may need to provide updated or new execution conditions to the UE for the subsequent conditional evaluation. R</w:t>
      </w:r>
      <w:r>
        <w:rPr>
          <w:rFonts w:hint="eastAsia"/>
          <w:szCs w:val="21"/>
        </w:rPr>
        <w:t>egarding</w:t>
      </w:r>
      <w:r>
        <w:rPr>
          <w:szCs w:val="21"/>
        </w:rPr>
        <w:t xml:space="preserve"> how to provide the execution conditions for the subsequent cell group change, there are two options:</w:t>
      </w:r>
    </w:p>
    <w:p>
      <w:pPr>
        <w:pStyle w:val="284"/>
        <w:numPr>
          <w:ilvl w:val="0"/>
          <w:numId w:val="7"/>
        </w:numPr>
        <w:ind w:firstLineChars="0"/>
        <w:rPr>
          <w:szCs w:val="21"/>
        </w:rPr>
      </w:pPr>
      <w:r>
        <w:rPr>
          <w:szCs w:val="21"/>
        </w:rPr>
        <w:t>Option 1: The NW pre-configures execution conditions for subsequent cell group changes when preparing candidate cell group configurations;</w:t>
      </w:r>
    </w:p>
    <w:p>
      <w:pPr>
        <w:pStyle w:val="284"/>
        <w:numPr>
          <w:ilvl w:val="0"/>
          <w:numId w:val="7"/>
        </w:numPr>
        <w:ind w:firstLineChars="0"/>
        <w:rPr>
          <w:szCs w:val="21"/>
        </w:rPr>
      </w:pPr>
      <w:r>
        <w:rPr>
          <w:rFonts w:hint="eastAsia"/>
          <w:szCs w:val="21"/>
        </w:rPr>
        <w:t>O</w:t>
      </w:r>
      <w:r>
        <w:rPr>
          <w:szCs w:val="21"/>
        </w:rPr>
        <w:t>ption 2: The NW updates execution conditions for subsequent cell group changes after completion of one cell group addition or change.</w:t>
      </w:r>
    </w:p>
    <w:p>
      <w:pPr>
        <w:rPr>
          <w:szCs w:val="21"/>
        </w:rPr>
      </w:pPr>
      <w:r>
        <w:rPr>
          <w:rFonts w:hint="eastAsia"/>
          <w:szCs w:val="21"/>
        </w:rPr>
        <w:t>I</w:t>
      </w:r>
      <w:r>
        <w:rPr>
          <w:szCs w:val="21"/>
        </w:rPr>
        <w:t>n option 1, the MN may be required to inform each candidate SN about candidate PSCells prepared by other candidate SNs, e.g. for SN initiated CPC, during CPAC preparation phase. And then the candidate SN generates the execution conditions associated with other candidate PSCells and feedback them to the MN. For MN initiated CPC, the MN may be also required to generate different sets of execution conditions for the subsequent CPC execution, each set is associated with a candidate PSCell. The MN shall provide the execution conditions for subsequent cell group change together with multiple candidate cell group configurations to the UE. Besides, when the MN or the source SN wants to change the candidate cells, each candidate SN may need to be informed to update the execution conditions</w:t>
      </w:r>
      <w:r>
        <w:rPr>
          <w:rFonts w:hint="eastAsia"/>
          <w:szCs w:val="21"/>
          <w:lang w:val="en-US" w:eastAsia="zh-CN"/>
        </w:rPr>
        <w:t xml:space="preserve"> for the subsequent SCG change</w:t>
      </w:r>
      <w:r>
        <w:rPr>
          <w:szCs w:val="21"/>
        </w:rPr>
        <w:t>. In this way, extra and complicated inter-node interaction may be required during CPAC preparation phase. In addition, the MN and candidate SN may rely on the outdated measurement results to configure the execution conditions.</w:t>
      </w:r>
    </w:p>
    <w:p>
      <w:pPr>
        <w:rPr>
          <w:rFonts w:hint="default" w:eastAsiaTheme="minorEastAsia"/>
          <w:szCs w:val="21"/>
          <w:lang w:val="en-US" w:eastAsia="zh-CN"/>
        </w:rPr>
      </w:pPr>
      <w:r>
        <w:rPr>
          <w:rFonts w:hint="eastAsia"/>
          <w:i/>
          <w:iCs/>
          <w:szCs w:val="21"/>
        </w:rPr>
        <w:t xml:space="preserve">Observation </w:t>
      </w:r>
      <w:r>
        <w:rPr>
          <w:rFonts w:hint="eastAsia"/>
          <w:i/>
          <w:iCs/>
          <w:szCs w:val="21"/>
          <w:lang w:val="en-US" w:eastAsia="zh-CN"/>
        </w:rPr>
        <w:t>6</w:t>
      </w:r>
      <w:r>
        <w:rPr>
          <w:rFonts w:hint="eastAsia"/>
          <w:i/>
          <w:iCs/>
          <w:szCs w:val="21"/>
        </w:rPr>
        <w:t xml:space="preserve">: </w:t>
      </w:r>
      <w:r>
        <w:rPr>
          <w:rFonts w:hint="eastAsia"/>
          <w:i/>
          <w:iCs/>
          <w:szCs w:val="21"/>
          <w:lang w:val="en-US" w:eastAsia="zh-CN"/>
        </w:rPr>
        <w:t>To support subsequent CPC, the additional and complicated inter-node interaction between MN and each candidate SN may be required during CPAC preparation phase, to interact all prepared candidate PSCells information and subsequent execution conditions for each candidate PSCell.</w:t>
      </w:r>
    </w:p>
    <w:p>
      <w:pPr>
        <w:rPr>
          <w:szCs w:val="21"/>
        </w:rPr>
      </w:pPr>
      <w:r>
        <w:rPr>
          <w:szCs w:val="21"/>
        </w:rPr>
        <w:t xml:space="preserve">In option 2, when the UE completes the execution of cell group addition or change, the MN or the target SN may need to send an RRC message to update the execution conditions for the subsequent CPC evaluation. For subsequent CPC, </w:t>
      </w:r>
      <w:r>
        <w:rPr>
          <w:rFonts w:hint="eastAsia"/>
          <w:szCs w:val="21"/>
          <w:lang w:val="en-US" w:eastAsia="zh-CN"/>
        </w:rPr>
        <w:t xml:space="preserve">the MN and </w:t>
      </w:r>
      <w:r>
        <w:rPr>
          <w:szCs w:val="21"/>
        </w:rPr>
        <w:t>the (target) SN needs to be informed about the candidate cell information whose configuration are maintained by the UE.</w:t>
      </w:r>
    </w:p>
    <w:p>
      <w:pPr>
        <w:rPr>
          <w:szCs w:val="21"/>
        </w:rPr>
      </w:pPr>
      <w:r>
        <w:rPr>
          <w:szCs w:val="21"/>
        </w:rPr>
        <w:t>The pros and cons for each option are summarized in the following table: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rPr>
                <w:szCs w:val="21"/>
              </w:rPr>
            </w:pPr>
          </w:p>
        </w:tc>
        <w:tc>
          <w:tcPr>
            <w:tcW w:w="3332" w:type="dxa"/>
          </w:tcPr>
          <w:p>
            <w:pPr>
              <w:rPr>
                <w:szCs w:val="21"/>
              </w:rPr>
            </w:pPr>
            <w:r>
              <w:rPr>
                <w:rFonts w:hint="eastAsia"/>
                <w:szCs w:val="21"/>
              </w:rPr>
              <w:t>P</w:t>
            </w:r>
            <w:r>
              <w:rPr>
                <w:szCs w:val="21"/>
              </w:rPr>
              <w:t>ros.</w:t>
            </w:r>
          </w:p>
        </w:tc>
        <w:tc>
          <w:tcPr>
            <w:tcW w:w="3333" w:type="dxa"/>
          </w:tcPr>
          <w:p>
            <w:pPr>
              <w:rPr>
                <w:szCs w:val="21"/>
              </w:rPr>
            </w:pPr>
            <w:r>
              <w:rPr>
                <w:rFonts w:hint="eastAsia"/>
                <w:szCs w:val="21"/>
              </w:rPr>
              <w:t>C</w:t>
            </w:r>
            <w:r>
              <w:rPr>
                <w:szCs w:val="21"/>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rPr>
                <w:szCs w:val="21"/>
              </w:rPr>
            </w:pPr>
            <w:r>
              <w:rPr>
                <w:szCs w:val="21"/>
              </w:rPr>
              <w:t>Option 1</w:t>
            </w:r>
          </w:p>
        </w:tc>
        <w:tc>
          <w:tcPr>
            <w:tcW w:w="3332" w:type="dxa"/>
          </w:tcPr>
          <w:p>
            <w:pPr>
              <w:rPr>
                <w:szCs w:val="21"/>
              </w:rPr>
            </w:pPr>
            <w:r>
              <w:rPr>
                <w:szCs w:val="21"/>
              </w:rPr>
              <w:t>The execution conditions for subsequent cell group change are pre-</w:t>
            </w:r>
            <w:r>
              <w:rPr>
                <w:rFonts w:hint="eastAsia"/>
                <w:szCs w:val="21"/>
              </w:rPr>
              <w:t>configur</w:t>
            </w:r>
            <w:r>
              <w:rPr>
                <w:szCs w:val="21"/>
              </w:rPr>
              <w:t>ed with candidate cell group configurations. Thus, no additional RRC signalling is required for execution conditions update after completion of one cell group change.</w:t>
            </w:r>
          </w:p>
        </w:tc>
        <w:tc>
          <w:tcPr>
            <w:tcW w:w="3333" w:type="dxa"/>
          </w:tcPr>
          <w:p>
            <w:pPr>
              <w:pStyle w:val="284"/>
              <w:numPr>
                <w:ilvl w:val="0"/>
                <w:numId w:val="8"/>
              </w:numPr>
              <w:ind w:firstLineChars="0"/>
              <w:rPr>
                <w:szCs w:val="21"/>
              </w:rPr>
            </w:pPr>
            <w:r>
              <w:rPr>
                <w:szCs w:val="21"/>
              </w:rPr>
              <w:t>Complicated inter-node interaction between MN and candidate SNs may be required during CPAC preparation phase, e.g. for SN initiated CPC, to interact prepared candidate PSCells information and subsequent execution conditions.</w:t>
            </w:r>
          </w:p>
          <w:p>
            <w:pPr>
              <w:pStyle w:val="284"/>
              <w:numPr>
                <w:ilvl w:val="0"/>
                <w:numId w:val="8"/>
              </w:numPr>
              <w:ind w:firstLineChars="0"/>
              <w:rPr>
                <w:szCs w:val="21"/>
              </w:rPr>
            </w:pPr>
            <w:r>
              <w:rPr>
                <w:szCs w:val="21"/>
              </w:rPr>
              <w:t>The MN and candidate SN</w:t>
            </w:r>
            <w:r>
              <w:rPr>
                <w:rFonts w:hint="eastAsia"/>
                <w:szCs w:val="21"/>
              </w:rPr>
              <w:t>s</w:t>
            </w:r>
            <w:r>
              <w:rPr>
                <w:szCs w:val="21"/>
              </w:rPr>
              <w:t xml:space="preserve"> may rely on the outdated measurement results to configure the execution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rPr>
                <w:szCs w:val="21"/>
              </w:rPr>
            </w:pPr>
            <w:r>
              <w:rPr>
                <w:szCs w:val="21"/>
              </w:rPr>
              <w:t>Option 2</w:t>
            </w:r>
          </w:p>
        </w:tc>
        <w:tc>
          <w:tcPr>
            <w:tcW w:w="3332" w:type="dxa"/>
          </w:tcPr>
          <w:p>
            <w:pPr>
              <w:pStyle w:val="284"/>
              <w:numPr>
                <w:ilvl w:val="0"/>
                <w:numId w:val="9"/>
              </w:numPr>
              <w:ind w:firstLineChars="0"/>
              <w:rPr>
                <w:szCs w:val="21"/>
              </w:rPr>
            </w:pPr>
            <w:r>
              <w:rPr>
                <w:szCs w:val="21"/>
              </w:rPr>
              <w:t xml:space="preserve">No extra inter-node interaction for </w:t>
            </w:r>
            <w:r>
              <w:rPr>
                <w:rFonts w:hint="eastAsia"/>
                <w:szCs w:val="21"/>
              </w:rPr>
              <w:t>the</w:t>
            </w:r>
            <w:r>
              <w:rPr>
                <w:szCs w:val="21"/>
              </w:rPr>
              <w:t xml:space="preserve"> subsequent execution condition determination is required during CPAC preparation phase.</w:t>
            </w:r>
          </w:p>
          <w:p>
            <w:pPr>
              <w:pStyle w:val="284"/>
              <w:numPr>
                <w:ilvl w:val="0"/>
                <w:numId w:val="9"/>
              </w:numPr>
              <w:ind w:firstLineChars="0"/>
              <w:rPr>
                <w:szCs w:val="21"/>
              </w:rPr>
            </w:pPr>
            <w:r>
              <w:rPr>
                <w:szCs w:val="21"/>
              </w:rPr>
              <w:t>The NW can update the execution conditions for subsequent cell group change based on the latest measurement results.</w:t>
            </w:r>
          </w:p>
        </w:tc>
        <w:tc>
          <w:tcPr>
            <w:tcW w:w="3333" w:type="dxa"/>
          </w:tcPr>
          <w:p>
            <w:pPr>
              <w:rPr>
                <w:szCs w:val="21"/>
              </w:rPr>
            </w:pPr>
            <w:r>
              <w:rPr>
                <w:szCs w:val="21"/>
              </w:rPr>
              <w:t>Additional RRC signaling is required to update the execution conditions for subsequent cell group change after completion of one cell group addition/change.</w:t>
            </w:r>
          </w:p>
        </w:tc>
      </w:tr>
    </w:tbl>
    <w:p>
      <w:pPr>
        <w:rPr>
          <w:szCs w:val="21"/>
        </w:rPr>
      </w:pPr>
      <w:r>
        <w:rPr>
          <w:szCs w:val="21"/>
        </w:rPr>
        <w:t xml:space="preserve">Based on the analysis above, it’s proposed to further discuss which option is to be used </w:t>
      </w:r>
    </w:p>
    <w:p>
      <w:pPr>
        <w:rPr>
          <w:b/>
          <w:szCs w:val="21"/>
        </w:rPr>
      </w:pPr>
      <w:r>
        <w:rPr>
          <w:b/>
          <w:szCs w:val="21"/>
        </w:rPr>
        <w:t xml:space="preserve">Proposal </w:t>
      </w:r>
      <w:r>
        <w:rPr>
          <w:rFonts w:hint="eastAsia"/>
          <w:b/>
          <w:szCs w:val="21"/>
          <w:lang w:val="en-US" w:eastAsia="zh-CN"/>
        </w:rPr>
        <w:t>7</w:t>
      </w:r>
      <w:r>
        <w:rPr>
          <w:b/>
          <w:szCs w:val="21"/>
        </w:rPr>
        <w:t>: RAN2 discusses how to provide execution conditions for subsequent cell group changes. Two options can be considered:</w:t>
      </w:r>
    </w:p>
    <w:p>
      <w:pPr>
        <w:pStyle w:val="284"/>
        <w:numPr>
          <w:ilvl w:val="0"/>
          <w:numId w:val="7"/>
        </w:numPr>
        <w:ind w:firstLineChars="0"/>
        <w:rPr>
          <w:b/>
          <w:szCs w:val="21"/>
        </w:rPr>
      </w:pPr>
      <w:r>
        <w:rPr>
          <w:b/>
          <w:szCs w:val="21"/>
        </w:rPr>
        <w:t>Option 1: The NW pre-configures execution conditions for subsequent cell group changes when preparing candidate cell group configurations;</w:t>
      </w:r>
    </w:p>
    <w:p>
      <w:pPr>
        <w:pStyle w:val="284"/>
        <w:numPr>
          <w:ilvl w:val="0"/>
          <w:numId w:val="7"/>
        </w:numPr>
        <w:ind w:firstLineChars="0"/>
        <w:rPr>
          <w:b/>
          <w:szCs w:val="21"/>
        </w:rPr>
      </w:pPr>
      <w:r>
        <w:rPr>
          <w:rFonts w:hint="eastAsia"/>
          <w:b/>
          <w:szCs w:val="21"/>
        </w:rPr>
        <w:t>O</w:t>
      </w:r>
      <w:r>
        <w:rPr>
          <w:b/>
          <w:szCs w:val="21"/>
        </w:rPr>
        <w:t>ption 2: The NW updates execution conditions for subsequent cell group changes after completion of one cell group addition or change.</w:t>
      </w:r>
    </w:p>
    <w:p>
      <w:pPr>
        <w:rPr>
          <w:szCs w:val="21"/>
        </w:rPr>
      </w:pPr>
    </w:p>
    <w:p>
      <w:pPr>
        <w:rPr>
          <w:b/>
          <w:i/>
          <w:szCs w:val="21"/>
          <w:u w:val="single"/>
        </w:rPr>
      </w:pPr>
      <w:r>
        <w:rPr>
          <w:b/>
          <w:i/>
          <w:szCs w:val="21"/>
          <w:u w:val="single"/>
        </w:rPr>
        <w:t>Issue 3: How many subsequent conditional changes are targeted?</w:t>
      </w:r>
    </w:p>
    <w:p>
      <w:pPr>
        <w:rPr>
          <w:szCs w:val="21"/>
        </w:rPr>
      </w:pPr>
      <w:r>
        <w:rPr>
          <w:szCs w:val="21"/>
        </w:rPr>
        <w:t>Regarding how many subsequent conditional changes are targeted, we think no need to define the allowable change times. It could be simply up to the NW implementation. If the subsequent conditional changes are not required or allowed any more, the NW can indicate to release all stored candidate cell group configurations.</w:t>
      </w:r>
    </w:p>
    <w:p>
      <w:pPr>
        <w:rPr>
          <w:szCs w:val="21"/>
        </w:rPr>
      </w:pPr>
      <w:r>
        <w:rPr>
          <w:b/>
          <w:szCs w:val="21"/>
        </w:rPr>
        <w:t xml:space="preserve">Proposal </w:t>
      </w:r>
      <w:r>
        <w:rPr>
          <w:rFonts w:hint="eastAsia"/>
          <w:b/>
          <w:szCs w:val="21"/>
          <w:lang w:val="en-US" w:eastAsia="zh-CN"/>
        </w:rPr>
        <w:t>8</w:t>
      </w:r>
      <w:r>
        <w:rPr>
          <w:b/>
          <w:szCs w:val="21"/>
        </w:rPr>
        <w:t xml:space="preserve">: It could be up to the NW implementation how many subsequent conditional changes are targeted, e.g. the NW can explicitly release all stored candidate cell group configurations if subsequent conditional changes are not required </w:t>
      </w:r>
      <w:r>
        <w:rPr>
          <w:rFonts w:hint="eastAsia"/>
          <w:b/>
          <w:szCs w:val="21"/>
          <w:lang w:val="en-US" w:eastAsia="zh-CN"/>
        </w:rPr>
        <w:t>any more</w:t>
      </w:r>
      <w:r>
        <w:rPr>
          <w:b/>
          <w:szCs w:val="21"/>
        </w:rPr>
        <w:t>.</w:t>
      </w:r>
    </w:p>
    <w:p>
      <w:pPr>
        <w:rPr>
          <w:b/>
          <w:szCs w:val="21"/>
        </w:rPr>
      </w:pPr>
    </w:p>
    <w:p>
      <w:pPr>
        <w:rPr>
          <w:b/>
          <w:i/>
          <w:szCs w:val="21"/>
          <w:u w:val="single"/>
        </w:rPr>
      </w:pPr>
      <w:r>
        <w:rPr>
          <w:rFonts w:hint="eastAsia"/>
          <w:b/>
          <w:i/>
          <w:szCs w:val="21"/>
          <w:u w:val="single"/>
        </w:rPr>
        <w:t>I</w:t>
      </w:r>
      <w:r>
        <w:rPr>
          <w:b/>
          <w:i/>
          <w:szCs w:val="21"/>
          <w:u w:val="single"/>
        </w:rPr>
        <w:t>ssue 4: Security issue</w:t>
      </w:r>
    </w:p>
    <w:p>
      <w:pPr>
        <w:rPr>
          <w:szCs w:val="21"/>
        </w:rPr>
      </w:pPr>
      <w:r>
        <w:rPr>
          <w:szCs w:val="21"/>
        </w:rPr>
        <w:t xml:space="preserve">At last meeting, </w:t>
      </w:r>
      <w:r>
        <w:rPr>
          <w:rFonts w:hint="eastAsia"/>
          <w:szCs w:val="21"/>
        </w:rPr>
        <w:t xml:space="preserve">RAN2 </w:t>
      </w:r>
      <w:r>
        <w:rPr>
          <w:rFonts w:hint="eastAsia"/>
          <w:szCs w:val="21"/>
          <w:lang w:val="en-US" w:eastAsia="zh-CN"/>
        </w:rPr>
        <w:t>decided</w:t>
      </w:r>
      <w:r>
        <w:rPr>
          <w:rFonts w:hint="eastAsia"/>
          <w:szCs w:val="21"/>
        </w:rPr>
        <w:t xml:space="preserve"> to support selective activation of cell groups without RRC reconfiguration with respect to security</w:t>
      </w:r>
      <w:r>
        <w:rPr>
          <w:rFonts w:hint="eastAsia"/>
          <w:szCs w:val="21"/>
          <w:lang w:val="en-US" w:eastAsia="zh-CN"/>
        </w:rPr>
        <w:t xml:space="preserve">. </w:t>
      </w:r>
      <w:r>
        <w:rPr>
          <w:szCs w:val="21"/>
        </w:rPr>
        <w:t xml:space="preserve">In case that the cell group change across CUs, e.g. inter-SN CPC, the security key refresh is required every time when performing cell group change. It’s assumed different </w:t>
      </w:r>
      <w:r>
        <w:rPr>
          <w:i/>
          <w:iCs/>
          <w:szCs w:val="21"/>
        </w:rPr>
        <w:t>sk-Counter</w:t>
      </w:r>
      <w:r>
        <w:rPr>
          <w:szCs w:val="21"/>
        </w:rPr>
        <w:t xml:space="preserve"> is assigned for each candidate cell group when preparing multiple candidate cell group configurations. However, the UE may switch back to the previous cell in the subsequent cell group changes, but the security parameters (e.g. sk-counter) have been reused. The security key shall not be refreshed based on the current SN key derivation mechanism. Thus, </w:t>
      </w:r>
      <w:r>
        <w:rPr>
          <w:rFonts w:hint="eastAsia"/>
          <w:szCs w:val="21"/>
        </w:rPr>
        <w:t xml:space="preserve">the UE will reuse the </w:t>
      </w:r>
      <w:r>
        <w:rPr>
          <w:szCs w:val="21"/>
        </w:rPr>
        <w:t xml:space="preserve">same </w:t>
      </w:r>
      <w:r>
        <w:rPr>
          <w:rFonts w:hint="eastAsia"/>
          <w:szCs w:val="21"/>
        </w:rPr>
        <w:t xml:space="preserve">security key to transmit the new date packet with the </w:t>
      </w:r>
      <w:r>
        <w:rPr>
          <w:szCs w:val="21"/>
        </w:rPr>
        <w:t xml:space="preserve">same cell </w:t>
      </w:r>
      <w:r>
        <w:rPr>
          <w:rFonts w:hint="eastAsia"/>
          <w:szCs w:val="21"/>
        </w:rPr>
        <w:t xml:space="preserve">when switching back to the </w:t>
      </w:r>
      <w:r>
        <w:rPr>
          <w:szCs w:val="21"/>
        </w:rPr>
        <w:t>previous cell</w:t>
      </w:r>
      <w:r>
        <w:rPr>
          <w:rFonts w:hint="eastAsia"/>
          <w:szCs w:val="21"/>
        </w:rPr>
        <w:t>, which may cause the security issue due to the reuse of the same key+COUNT+RB</w:t>
      </w:r>
      <w:r>
        <w:rPr>
          <w:szCs w:val="21"/>
        </w:rPr>
        <w:t xml:space="preserve"> ID</w:t>
      </w:r>
      <w:r>
        <w:rPr>
          <w:rFonts w:hint="eastAsia"/>
          <w:szCs w:val="21"/>
        </w:rPr>
        <w:t>.</w:t>
      </w:r>
    </w:p>
    <w:p>
      <w:pPr>
        <w:rPr>
          <w:i/>
          <w:iCs/>
          <w:szCs w:val="21"/>
        </w:rPr>
      </w:pPr>
      <w:r>
        <w:rPr>
          <w:rFonts w:hint="eastAsia"/>
          <w:i/>
          <w:iCs/>
          <w:szCs w:val="21"/>
        </w:rPr>
        <w:t xml:space="preserve">Observation </w:t>
      </w:r>
      <w:r>
        <w:rPr>
          <w:rFonts w:hint="eastAsia"/>
          <w:i/>
          <w:iCs/>
          <w:szCs w:val="21"/>
          <w:lang w:val="en-US" w:eastAsia="zh-CN"/>
        </w:rPr>
        <w:t>7</w:t>
      </w:r>
      <w:r>
        <w:rPr>
          <w:rFonts w:hint="eastAsia"/>
          <w:i/>
          <w:iCs/>
          <w:szCs w:val="21"/>
        </w:rPr>
        <w:t xml:space="preserve">: </w:t>
      </w:r>
      <w:r>
        <w:rPr>
          <w:i/>
          <w:iCs/>
          <w:szCs w:val="21"/>
        </w:rPr>
        <w:t>For</w:t>
      </w:r>
      <w:r>
        <w:rPr>
          <w:rFonts w:hint="eastAsia"/>
          <w:i/>
          <w:iCs/>
          <w:szCs w:val="21"/>
        </w:rPr>
        <w:t xml:space="preserve"> </w:t>
      </w:r>
      <w:r>
        <w:rPr>
          <w:i/>
          <w:iCs/>
          <w:szCs w:val="21"/>
        </w:rPr>
        <w:t>the cell group</w:t>
      </w:r>
      <w:r>
        <w:rPr>
          <w:rFonts w:hint="eastAsia"/>
          <w:i/>
          <w:iCs/>
          <w:szCs w:val="21"/>
        </w:rPr>
        <w:t xml:space="preserve"> change across CUs (</w:t>
      </w:r>
      <w:r>
        <w:rPr>
          <w:i/>
          <w:iCs/>
          <w:szCs w:val="21"/>
        </w:rPr>
        <w:t>e.g. inter-SN CPC</w:t>
      </w:r>
      <w:r>
        <w:rPr>
          <w:rFonts w:hint="eastAsia"/>
          <w:i/>
          <w:iCs/>
          <w:szCs w:val="21"/>
        </w:rPr>
        <w:t xml:space="preserve">), </w:t>
      </w:r>
      <w:r>
        <w:rPr>
          <w:i/>
          <w:iCs/>
          <w:szCs w:val="21"/>
        </w:rPr>
        <w:t>when the UE switches back to the previous cell</w:t>
      </w:r>
      <w:r>
        <w:rPr>
          <w:rFonts w:hint="eastAsia"/>
          <w:i/>
          <w:iCs/>
          <w:szCs w:val="21"/>
        </w:rPr>
        <w:t xml:space="preserve">, the security key refresh for candidate </w:t>
      </w:r>
      <w:r>
        <w:rPr>
          <w:i/>
          <w:iCs/>
          <w:szCs w:val="21"/>
        </w:rPr>
        <w:t>cell groups</w:t>
      </w:r>
      <w:r>
        <w:rPr>
          <w:rFonts w:hint="eastAsia"/>
          <w:i/>
          <w:iCs/>
          <w:szCs w:val="21"/>
        </w:rPr>
        <w:t xml:space="preserve"> </w:t>
      </w:r>
      <w:r>
        <w:rPr>
          <w:rFonts w:hint="eastAsia"/>
          <w:i/>
          <w:iCs/>
          <w:szCs w:val="21"/>
          <w:lang w:val="en-US" w:eastAsia="zh-CN"/>
        </w:rPr>
        <w:t>is required</w:t>
      </w:r>
      <w:r>
        <w:rPr>
          <w:i/>
          <w:iCs/>
          <w:szCs w:val="21"/>
        </w:rPr>
        <w:t>,</w:t>
      </w:r>
      <w:r>
        <w:rPr>
          <w:rFonts w:hint="eastAsia"/>
          <w:i/>
          <w:iCs/>
          <w:szCs w:val="21"/>
        </w:rPr>
        <w:t xml:space="preserve"> to avoid the security issue </w:t>
      </w:r>
      <w:r>
        <w:rPr>
          <w:i/>
          <w:iCs/>
          <w:szCs w:val="21"/>
        </w:rPr>
        <w:t>caused by</w:t>
      </w:r>
      <w:r>
        <w:rPr>
          <w:rFonts w:hint="eastAsia"/>
          <w:i/>
          <w:iCs/>
          <w:szCs w:val="21"/>
        </w:rPr>
        <w:t xml:space="preserve"> the reuse of the same key+COUNT+RB</w:t>
      </w:r>
      <w:r>
        <w:rPr>
          <w:i/>
          <w:iCs/>
          <w:szCs w:val="21"/>
        </w:rPr>
        <w:t xml:space="preserve"> ID</w:t>
      </w:r>
      <w:r>
        <w:rPr>
          <w:rFonts w:hint="eastAsia"/>
          <w:i/>
          <w:iCs/>
          <w:szCs w:val="21"/>
        </w:rPr>
        <w:t xml:space="preserve">. </w:t>
      </w:r>
    </w:p>
    <w:p>
      <w:pPr>
        <w:rPr>
          <w:szCs w:val="21"/>
        </w:rPr>
      </w:pPr>
      <w:r>
        <w:rPr>
          <w:rFonts w:hint="eastAsia"/>
          <w:szCs w:val="21"/>
        </w:rPr>
        <w:t>In order to avoid frequent security key refresh via RRC signalling</w:t>
      </w:r>
      <w:r>
        <w:rPr>
          <w:szCs w:val="21"/>
        </w:rPr>
        <w:t xml:space="preserve"> after execution of one cell group addition/change</w:t>
      </w:r>
      <w:r>
        <w:rPr>
          <w:rFonts w:hint="eastAsia"/>
          <w:szCs w:val="21"/>
        </w:rPr>
        <w:t xml:space="preserve">, </w:t>
      </w:r>
      <w:r>
        <w:rPr>
          <w:szCs w:val="21"/>
        </w:rPr>
        <w:t>some</w:t>
      </w:r>
      <w:r>
        <w:rPr>
          <w:rFonts w:hint="eastAsia"/>
          <w:szCs w:val="21"/>
        </w:rPr>
        <w:t xml:space="preserve"> enhancement</w:t>
      </w:r>
      <w:r>
        <w:rPr>
          <w:szCs w:val="21"/>
        </w:rPr>
        <w:t>s</w:t>
      </w:r>
      <w:r>
        <w:rPr>
          <w:rFonts w:hint="eastAsia"/>
          <w:szCs w:val="21"/>
        </w:rPr>
        <w:t xml:space="preserve"> on security key refresh should be considered</w:t>
      </w:r>
      <w:r>
        <w:rPr>
          <w:szCs w:val="21"/>
        </w:rPr>
        <w:t>.</w:t>
      </w:r>
      <w:r>
        <w:rPr>
          <w:rFonts w:hint="eastAsia"/>
          <w:szCs w:val="21"/>
        </w:rPr>
        <w:t xml:space="preserve"> </w:t>
      </w:r>
      <w:r>
        <w:rPr>
          <w:szCs w:val="21"/>
        </w:rPr>
        <w:t xml:space="preserve">A possible way is to use the same security key derivation method (e.g. </w:t>
      </w:r>
      <w:r>
        <w:t>vertical or horizontal key derivation)</w:t>
      </w:r>
      <w:r>
        <w:rPr>
          <w:szCs w:val="21"/>
        </w:rPr>
        <w:t xml:space="preserve"> to derive the new key autonomously at the UE side and the NW side when the UE switches back to the previous cell. The detailed solution </w:t>
      </w:r>
      <w:r>
        <w:rPr>
          <w:rFonts w:hint="eastAsia"/>
          <w:szCs w:val="21"/>
          <w:lang w:val="en-US" w:eastAsia="zh-CN"/>
        </w:rPr>
        <w:t>could</w:t>
      </w:r>
      <w:r>
        <w:rPr>
          <w:szCs w:val="21"/>
        </w:rPr>
        <w:t xml:space="preserve"> be further checked and discussed by SA3.</w:t>
      </w:r>
    </w:p>
    <w:p>
      <w:pPr>
        <w:rPr>
          <w:szCs w:val="21"/>
        </w:rPr>
      </w:pPr>
      <w:r>
        <w:rPr>
          <w:szCs w:val="21"/>
        </w:rPr>
        <w:t>Besides, according to the SN counter derivation principle in TS 33.501 [2], the sk-counter should be monotonically increased by the MN for each additional calculated K</w:t>
      </w:r>
      <w:r>
        <w:rPr>
          <w:szCs w:val="21"/>
          <w:vertAlign w:val="subscript"/>
        </w:rPr>
        <w:t>SN</w:t>
      </w:r>
      <w:r>
        <w:rPr>
          <w:szCs w:val="21"/>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overflowPunct w:val="0"/>
              <w:autoSpaceDE w:val="0"/>
              <w:autoSpaceDN w:val="0"/>
              <w:adjustRightInd w:val="0"/>
              <w:spacing w:after="180"/>
              <w:textAlignment w:val="baseline"/>
              <w:rPr>
                <w:rFonts w:ascii="Arial" w:hAnsi="Arial" w:eastAsia="等线" w:cs="Arial"/>
                <w:kern w:val="0"/>
                <w:sz w:val="20"/>
                <w:szCs w:val="20"/>
                <w:lang w:eastAsia="en-US"/>
              </w:rPr>
            </w:pPr>
            <w:r>
              <w:rPr>
                <w:rFonts w:ascii="Arial" w:hAnsi="Arial" w:eastAsia="等线" w:cs="Arial"/>
                <w:kern w:val="0"/>
                <w:sz w:val="20"/>
                <w:szCs w:val="20"/>
                <w:lang w:eastAsia="en-US"/>
              </w:rPr>
              <w:t>TS 33.501 v17.7.0</w:t>
            </w:r>
          </w:p>
          <w:p>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hAnsi="Arial" w:eastAsia="等线"/>
                <w:kern w:val="0"/>
                <w:sz w:val="28"/>
                <w:szCs w:val="20"/>
                <w:lang w:val="en-GB" w:eastAsia="zh-CN"/>
              </w:rPr>
            </w:pPr>
            <w:bookmarkStart w:id="6" w:name="_Toc35528564"/>
            <w:bookmarkStart w:id="7" w:name="_Toc45274920"/>
            <w:bookmarkStart w:id="8" w:name="_Toc35533325"/>
            <w:bookmarkStart w:id="9" w:name="_Toc19634753"/>
            <w:bookmarkStart w:id="10" w:name="_Toc45028668"/>
            <w:bookmarkStart w:id="11" w:name="_Toc51168177"/>
            <w:bookmarkStart w:id="12" w:name="_Toc114220790"/>
            <w:bookmarkStart w:id="13" w:name="_Toc26875813"/>
            <w:bookmarkStart w:id="14" w:name="_Toc45274333"/>
            <w:r>
              <w:rPr>
                <w:rFonts w:ascii="Arial" w:hAnsi="Arial" w:eastAsia="等线"/>
                <w:kern w:val="0"/>
                <w:sz w:val="28"/>
                <w:szCs w:val="20"/>
                <w:lang w:val="en-GB" w:eastAsia="zh-CN"/>
              </w:rPr>
              <w:t>6.10.3</w:t>
            </w:r>
            <w:r>
              <w:rPr>
                <w:rFonts w:ascii="Arial" w:hAnsi="Arial" w:eastAsia="等线"/>
                <w:kern w:val="0"/>
                <w:sz w:val="28"/>
                <w:szCs w:val="20"/>
                <w:lang w:val="en-GB" w:eastAsia="zh-CN"/>
              </w:rPr>
              <w:tab/>
            </w:r>
            <w:r>
              <w:rPr>
                <w:rFonts w:ascii="Arial" w:hAnsi="Arial" w:eastAsia="等线"/>
                <w:kern w:val="0"/>
                <w:sz w:val="28"/>
                <w:szCs w:val="20"/>
                <w:lang w:val="en-GB" w:eastAsia="zh-CN"/>
              </w:rPr>
              <w:t>Establishing the security context between the UE and SN</w:t>
            </w:r>
            <w:bookmarkEnd w:id="6"/>
            <w:bookmarkEnd w:id="7"/>
            <w:bookmarkEnd w:id="8"/>
            <w:bookmarkEnd w:id="9"/>
            <w:bookmarkEnd w:id="10"/>
            <w:bookmarkEnd w:id="11"/>
            <w:bookmarkEnd w:id="12"/>
            <w:bookmarkEnd w:id="13"/>
            <w:bookmarkEnd w:id="14"/>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等线"/>
                <w:kern w:val="0"/>
                <w:sz w:val="24"/>
                <w:szCs w:val="20"/>
                <w:lang w:val="en-GB" w:eastAsia="zh-CN"/>
              </w:rPr>
            </w:pPr>
            <w:bookmarkStart w:id="15" w:name="_Toc45274921"/>
            <w:bookmarkStart w:id="16" w:name="_Toc51168178"/>
            <w:bookmarkStart w:id="17" w:name="_Toc45028669"/>
            <w:bookmarkStart w:id="18" w:name="_Toc114220791"/>
            <w:bookmarkStart w:id="19" w:name="_Toc19634754"/>
            <w:bookmarkStart w:id="20" w:name="_Toc35533326"/>
            <w:bookmarkStart w:id="21" w:name="_Toc45274334"/>
            <w:bookmarkStart w:id="22" w:name="_Toc35528565"/>
            <w:bookmarkStart w:id="23" w:name="_Toc26875814"/>
            <w:r>
              <w:rPr>
                <w:rFonts w:ascii="Arial" w:hAnsi="Arial" w:eastAsia="等线"/>
                <w:kern w:val="0"/>
                <w:sz w:val="24"/>
                <w:szCs w:val="20"/>
                <w:lang w:val="en-GB" w:eastAsia="zh-CN"/>
              </w:rPr>
              <w:t>6.10.3.1</w:t>
            </w:r>
            <w:r>
              <w:rPr>
                <w:rFonts w:ascii="Arial" w:hAnsi="Arial" w:eastAsia="等线"/>
                <w:kern w:val="0"/>
                <w:sz w:val="24"/>
                <w:szCs w:val="20"/>
                <w:lang w:val="en-GB" w:eastAsia="zh-CN"/>
              </w:rPr>
              <w:tab/>
            </w:r>
            <w:r>
              <w:rPr>
                <w:rFonts w:ascii="Arial" w:hAnsi="Arial" w:eastAsia="等线"/>
                <w:kern w:val="0"/>
                <w:sz w:val="24"/>
                <w:szCs w:val="20"/>
                <w:lang w:val="en-GB" w:eastAsia="zh-CN"/>
              </w:rPr>
              <w:t>SN Counter maintenance</w:t>
            </w:r>
            <w:bookmarkEnd w:id="15"/>
            <w:bookmarkEnd w:id="16"/>
            <w:bookmarkEnd w:id="17"/>
            <w:bookmarkEnd w:id="18"/>
            <w:bookmarkEnd w:id="19"/>
            <w:bookmarkEnd w:id="20"/>
            <w:bookmarkEnd w:id="21"/>
            <w:bookmarkEnd w:id="22"/>
            <w:bookmarkEnd w:id="23"/>
          </w:p>
          <w:p>
            <w:pPr>
              <w:widowControl/>
              <w:overflowPunct w:val="0"/>
              <w:autoSpaceDE w:val="0"/>
              <w:autoSpaceDN w:val="0"/>
              <w:adjustRightInd w:val="0"/>
              <w:spacing w:after="180"/>
              <w:textAlignment w:val="baseline"/>
              <w:rPr>
                <w:rFonts w:eastAsia="等线"/>
                <w:color w:val="FF0000"/>
                <w:kern w:val="0"/>
                <w:sz w:val="20"/>
                <w:szCs w:val="20"/>
              </w:rPr>
            </w:pPr>
            <w:r>
              <w:rPr>
                <w:rFonts w:eastAsia="等线"/>
                <w:color w:val="FF0000"/>
                <w:kern w:val="0"/>
                <w:sz w:val="20"/>
                <w:szCs w:val="20"/>
              </w:rPr>
              <w:t>*// skip unrelated part //*</w:t>
            </w:r>
          </w:p>
          <w:p>
            <w:pPr>
              <w:rPr>
                <w:szCs w:val="21"/>
              </w:rPr>
            </w:pPr>
            <w:r>
              <w:rPr>
                <w:rFonts w:eastAsia="等线"/>
                <w:kern w:val="0"/>
                <w:sz w:val="20"/>
                <w:szCs w:val="20"/>
                <w:lang w:eastAsia="en-US"/>
              </w:rPr>
              <w:t>The MN shall set the SN Counter to ‘0’ when a new AS root key, K</w:t>
            </w:r>
            <w:r>
              <w:rPr>
                <w:rFonts w:eastAsia="等线"/>
                <w:kern w:val="0"/>
                <w:sz w:val="20"/>
                <w:szCs w:val="20"/>
                <w:vertAlign w:val="subscript"/>
                <w:lang w:eastAsia="en-US"/>
              </w:rPr>
              <w:t>NG-RAN</w:t>
            </w:r>
            <w:r>
              <w:rPr>
                <w:rFonts w:eastAsia="等线"/>
                <w:kern w:val="0"/>
                <w:sz w:val="20"/>
                <w:szCs w:val="20"/>
                <w:lang w:eastAsia="en-US"/>
              </w:rPr>
              <w:t>, in the associated 5G AS security context is established. The MN shall set the SN Counter to ‘1’ after the first calculated K</w:t>
            </w:r>
            <w:r>
              <w:rPr>
                <w:rFonts w:eastAsia="等线"/>
                <w:kern w:val="0"/>
                <w:sz w:val="20"/>
                <w:szCs w:val="20"/>
                <w:vertAlign w:val="subscript"/>
                <w:lang w:eastAsia="en-US"/>
              </w:rPr>
              <w:t>SN</w:t>
            </w:r>
            <w:r>
              <w:rPr>
                <w:rFonts w:eastAsia="等线"/>
                <w:kern w:val="0"/>
                <w:sz w:val="20"/>
                <w:szCs w:val="20"/>
                <w:lang w:eastAsia="en-US"/>
              </w:rPr>
              <w:t xml:space="preserve">, </w:t>
            </w:r>
            <w:r>
              <w:rPr>
                <w:rFonts w:eastAsia="等线"/>
                <w:kern w:val="0"/>
                <w:sz w:val="20"/>
                <w:szCs w:val="20"/>
                <w:highlight w:val="yellow"/>
                <w:lang w:eastAsia="en-US"/>
              </w:rPr>
              <w:t>and monotonically increment it for each additional calculated K</w:t>
            </w:r>
            <w:r>
              <w:rPr>
                <w:rFonts w:eastAsia="等线"/>
                <w:kern w:val="0"/>
                <w:sz w:val="20"/>
                <w:szCs w:val="20"/>
                <w:highlight w:val="yellow"/>
                <w:vertAlign w:val="subscript"/>
                <w:lang w:eastAsia="en-US"/>
              </w:rPr>
              <w:t>SN</w:t>
            </w:r>
            <w:r>
              <w:rPr>
                <w:rFonts w:eastAsia="等线"/>
                <w:kern w:val="0"/>
                <w:sz w:val="20"/>
                <w:szCs w:val="20"/>
                <w:lang w:eastAsia="en-US"/>
              </w:rPr>
              <w:t>. The SN Counter value '0' is used to calculate the first K</w:t>
            </w:r>
            <w:r>
              <w:rPr>
                <w:rFonts w:eastAsia="等线"/>
                <w:kern w:val="0"/>
                <w:sz w:val="20"/>
                <w:szCs w:val="20"/>
                <w:vertAlign w:val="subscript"/>
                <w:lang w:eastAsia="en-US"/>
              </w:rPr>
              <w:t>SN</w:t>
            </w:r>
            <w:r>
              <w:rPr>
                <w:rFonts w:eastAsia="等线"/>
                <w:kern w:val="0"/>
                <w:sz w:val="20"/>
                <w:szCs w:val="20"/>
                <w:lang w:eastAsia="en-US"/>
              </w:rPr>
              <w:t xml:space="preserve">. </w:t>
            </w:r>
          </w:p>
        </w:tc>
      </w:tr>
    </w:tbl>
    <w:p>
      <w:pPr>
        <w:rPr>
          <w:szCs w:val="21"/>
        </w:rPr>
      </w:pPr>
      <w:r>
        <w:rPr>
          <w:szCs w:val="21"/>
        </w:rPr>
        <w:t>However, when the NW pre-configures sk-counter for each candidate configuration, the NW cannot predict subsequent conditional SCG changes performed by the UE randomly. So it shall be difficult to obey the monotonically increment of sk-Counter principle when preparing candidate cell group configurations. It would be better to check with SA3 whether and how to meet such principle for the execution of subsequent conditional SCG changes.</w:t>
      </w:r>
    </w:p>
    <w:p>
      <w:pPr>
        <w:rPr>
          <w:szCs w:val="21"/>
        </w:rPr>
      </w:pPr>
      <w:r>
        <w:rPr>
          <w:rFonts w:hint="eastAsia"/>
          <w:i/>
          <w:iCs/>
          <w:szCs w:val="21"/>
        </w:rPr>
        <w:t xml:space="preserve">Observation </w:t>
      </w:r>
      <w:r>
        <w:rPr>
          <w:rFonts w:hint="eastAsia"/>
          <w:i/>
          <w:iCs/>
          <w:szCs w:val="21"/>
          <w:lang w:val="en-US" w:eastAsia="zh-CN"/>
        </w:rPr>
        <w:t>8</w:t>
      </w:r>
      <w:r>
        <w:rPr>
          <w:rFonts w:hint="eastAsia"/>
          <w:i/>
          <w:iCs/>
          <w:szCs w:val="21"/>
        </w:rPr>
        <w:t>:</w:t>
      </w:r>
      <w:r>
        <w:rPr>
          <w:i/>
          <w:iCs/>
          <w:szCs w:val="21"/>
        </w:rPr>
        <w:t xml:space="preserve"> Based on the current security specs, the sk-counter should be monotonically increased by the MN for each additional calculated K</w:t>
      </w:r>
      <w:r>
        <w:rPr>
          <w:i/>
          <w:iCs/>
          <w:szCs w:val="21"/>
          <w:vertAlign w:val="subscript"/>
        </w:rPr>
        <w:t>SN</w:t>
      </w:r>
      <w:r>
        <w:rPr>
          <w:i/>
          <w:iCs/>
          <w:szCs w:val="21"/>
        </w:rPr>
        <w:t>. However, it shall be difficult to obey the principle on monotonically increment of sk-Counter when the NW pre-configures sk-counter for each candidate configuration since the subsequent conditional SCG change performed by the UE is unpredictable.</w:t>
      </w:r>
    </w:p>
    <w:p>
      <w:pPr>
        <w:rPr>
          <w:b/>
          <w:szCs w:val="21"/>
        </w:rPr>
      </w:pPr>
      <w:r>
        <w:rPr>
          <w:rFonts w:hint="eastAsia"/>
          <w:b/>
          <w:szCs w:val="21"/>
        </w:rPr>
        <w:t>P</w:t>
      </w:r>
      <w:r>
        <w:rPr>
          <w:b/>
          <w:szCs w:val="21"/>
        </w:rPr>
        <w:t xml:space="preserve">roposal </w:t>
      </w:r>
      <w:r>
        <w:rPr>
          <w:rFonts w:hint="eastAsia"/>
          <w:b/>
          <w:szCs w:val="21"/>
          <w:lang w:val="en-US" w:eastAsia="zh-CN"/>
        </w:rPr>
        <w:t>9</w:t>
      </w:r>
      <w:r>
        <w:rPr>
          <w:b/>
          <w:szCs w:val="21"/>
        </w:rPr>
        <w:t>: RAN2 ask</w:t>
      </w:r>
      <w:r>
        <w:rPr>
          <w:rFonts w:hint="eastAsia"/>
          <w:b/>
          <w:szCs w:val="21"/>
        </w:rPr>
        <w:t>s</w:t>
      </w:r>
      <w:r>
        <w:rPr>
          <w:b/>
          <w:szCs w:val="21"/>
        </w:rPr>
        <w:t xml:space="preserve"> SA3 to discuss the following security issues in subsequent conditional </w:t>
      </w:r>
      <w:r>
        <w:rPr>
          <w:rFonts w:hint="eastAsia"/>
          <w:b/>
          <w:szCs w:val="21"/>
          <w:lang w:val="en-US" w:eastAsia="zh-CN"/>
        </w:rPr>
        <w:t xml:space="preserve">cell group </w:t>
      </w:r>
      <w:r>
        <w:rPr>
          <w:b/>
          <w:szCs w:val="21"/>
        </w:rPr>
        <w:t>changes across CUs (e.g. subsequent inter-SN CPC):</w:t>
      </w:r>
    </w:p>
    <w:p>
      <w:pPr>
        <w:pStyle w:val="284"/>
        <w:numPr>
          <w:ilvl w:val="0"/>
          <w:numId w:val="10"/>
        </w:numPr>
        <w:ind w:firstLineChars="0"/>
        <w:rPr>
          <w:b/>
          <w:szCs w:val="21"/>
        </w:rPr>
      </w:pPr>
      <w:r>
        <w:rPr>
          <w:b/>
          <w:szCs w:val="21"/>
        </w:rPr>
        <w:t>How to refresh the security key when the UE switches back to the same/previous candidate cell with the reuse of security parameters, e.g. sk-counter;</w:t>
      </w:r>
    </w:p>
    <w:p>
      <w:pPr>
        <w:pStyle w:val="284"/>
        <w:numPr>
          <w:ilvl w:val="0"/>
          <w:numId w:val="10"/>
        </w:numPr>
        <w:ind w:firstLineChars="0"/>
        <w:rPr>
          <w:b/>
          <w:szCs w:val="21"/>
        </w:rPr>
      </w:pPr>
      <w:r>
        <w:rPr>
          <w:b/>
          <w:szCs w:val="21"/>
        </w:rPr>
        <w:t>Whether and how to meet the requirement on monotonically increment of sk-</w:t>
      </w:r>
      <w:r>
        <w:rPr>
          <w:rFonts w:hint="eastAsia"/>
          <w:b/>
          <w:szCs w:val="21"/>
          <w:lang w:val="en-US" w:eastAsia="zh-CN"/>
        </w:rPr>
        <w:t>c</w:t>
      </w:r>
      <w:r>
        <w:rPr>
          <w:b/>
          <w:szCs w:val="21"/>
        </w:rPr>
        <w:t>ounter for the subsequent conditional SCG changes.</w:t>
      </w:r>
    </w:p>
    <w:p>
      <w:pPr>
        <w:rPr>
          <w:b/>
          <w:bCs/>
          <w:szCs w:val="21"/>
        </w:rPr>
      </w:pPr>
    </w:p>
    <w:p>
      <w:pPr>
        <w:rPr>
          <w:b/>
          <w:bCs/>
          <w:i/>
          <w:szCs w:val="21"/>
          <w:u w:val="single"/>
        </w:rPr>
      </w:pPr>
      <w:r>
        <w:rPr>
          <w:rFonts w:hint="eastAsia"/>
          <w:b/>
          <w:bCs/>
          <w:i/>
          <w:szCs w:val="21"/>
          <w:u w:val="single"/>
        </w:rPr>
        <w:t>I</w:t>
      </w:r>
      <w:r>
        <w:rPr>
          <w:b/>
          <w:bCs/>
          <w:i/>
          <w:szCs w:val="21"/>
          <w:u w:val="single"/>
        </w:rPr>
        <w:t>ssue 5: Triggering mechanism</w:t>
      </w:r>
    </w:p>
    <w:p>
      <w:pPr>
        <w:rPr>
          <w:szCs w:val="21"/>
        </w:rPr>
      </w:pPr>
      <w:r>
        <w:rPr>
          <w:szCs w:val="21"/>
        </w:rPr>
        <w:t>Currently, the selective activation of cell groups is expected to support of subsequent conditional changes after a cell group change. Namely, the UE based triggering mechanism (e.g. CPAC procedure) for support of subsequent cell group changes is taken as the baseline. But it would be more straightforward and flexible for the NW to indicate which candidate cell groups to be activated/switched, e.g. via RRC signalling or MAC CE. In this way, there is no need to pre-configure execution conditions for subsequent cell group changes. The UE behavior shall become simpler as well since the evaluation of execution conditions is not required. In addition, if delta configuration is supported for the candidate cell group configurations for conditional changes, the same method can be reused for the NW based triggering case to reduce the signalling overhead. We see less work is required to support the NW based triggering mechanism once the UE based triggering mechanism is completed. Thus, we propose to also consider NW based triggering mechanism for support of the selective activation of cell groups.</w:t>
      </w:r>
    </w:p>
    <w:p>
      <w:pPr>
        <w:rPr>
          <w:b/>
          <w:bCs/>
          <w:szCs w:val="21"/>
        </w:rPr>
      </w:pPr>
      <w:r>
        <w:rPr>
          <w:rFonts w:hint="eastAsia"/>
          <w:b/>
          <w:bCs/>
          <w:szCs w:val="21"/>
        </w:rPr>
        <w:t xml:space="preserve">Proposal </w:t>
      </w:r>
      <w:r>
        <w:rPr>
          <w:b/>
          <w:bCs/>
          <w:szCs w:val="21"/>
        </w:rPr>
        <w:t>1</w:t>
      </w:r>
      <w:r>
        <w:rPr>
          <w:rFonts w:hint="eastAsia"/>
          <w:b/>
          <w:bCs/>
          <w:szCs w:val="21"/>
          <w:lang w:val="en-US" w:eastAsia="zh-CN"/>
        </w:rPr>
        <w:t>0</w:t>
      </w:r>
      <w:r>
        <w:rPr>
          <w:rFonts w:hint="eastAsia"/>
          <w:b/>
          <w:bCs/>
          <w:szCs w:val="21"/>
        </w:rPr>
        <w:t xml:space="preserve">: </w:t>
      </w:r>
      <w:r>
        <w:rPr>
          <w:b/>
          <w:bCs/>
          <w:szCs w:val="21"/>
        </w:rPr>
        <w:t>RAN2 also considers</w:t>
      </w:r>
      <w:r>
        <w:rPr>
          <w:rFonts w:hint="eastAsia"/>
          <w:b/>
          <w:bCs/>
          <w:szCs w:val="21"/>
        </w:rPr>
        <w:t xml:space="preserve"> NW based triggering mechanism</w:t>
      </w:r>
      <w:r>
        <w:rPr>
          <w:rFonts w:hint="eastAsia"/>
          <w:b/>
          <w:bCs/>
          <w:szCs w:val="21"/>
          <w:lang w:val="en-US" w:eastAsia="zh-CN"/>
        </w:rPr>
        <w:t xml:space="preserve"> (i.e. triggering by the NW signalling)</w:t>
      </w:r>
      <w:r>
        <w:rPr>
          <w:b/>
          <w:bCs/>
          <w:szCs w:val="21"/>
        </w:rPr>
        <w:t xml:space="preserve"> </w:t>
      </w:r>
      <w:r>
        <w:rPr>
          <w:rFonts w:hint="eastAsia"/>
          <w:b/>
          <w:bCs/>
          <w:szCs w:val="21"/>
          <w:lang w:val="en-US" w:eastAsia="zh-CN"/>
        </w:rPr>
        <w:t>to</w:t>
      </w:r>
      <w:r>
        <w:rPr>
          <w:b/>
          <w:bCs/>
          <w:szCs w:val="21"/>
        </w:rPr>
        <w:t xml:space="preserve"> support the selective activation of cell groups</w:t>
      </w:r>
      <w:r>
        <w:rPr>
          <w:rFonts w:hint="eastAsia"/>
          <w:b/>
          <w:bCs/>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discussed NR-DC with selective activation of the cell groups with the following observations and proposals:</w:t>
      </w:r>
    </w:p>
    <w:p>
      <w:pPr>
        <w:rPr>
          <w:i/>
          <w:szCs w:val="21"/>
        </w:rPr>
      </w:pPr>
      <w:r>
        <w:rPr>
          <w:i/>
          <w:szCs w:val="21"/>
        </w:rPr>
        <w:t>Observation 1: SN initiated CPC is usually used for PSCell change caused by coverage problem (e.g. based on A3/A5 events), while MN initiated CPC is initially defined for PSCell change due to load balance (e.g. based on A4/B1 events).</w:t>
      </w:r>
    </w:p>
    <w:p>
      <w:pPr>
        <w:rPr>
          <w:i/>
          <w:szCs w:val="21"/>
        </w:rPr>
      </w:pPr>
      <w:r>
        <w:rPr>
          <w:i/>
          <w:szCs w:val="21"/>
        </w:rPr>
        <w:t xml:space="preserve">Observation 2: For intra-SN CPC, no security key refresh is required for the subsequent </w:t>
      </w:r>
      <w:r>
        <w:rPr>
          <w:rFonts w:hint="eastAsia"/>
          <w:i/>
          <w:szCs w:val="21"/>
          <w:lang w:val="en-US" w:eastAsia="zh-CN"/>
        </w:rPr>
        <w:t>SCG</w:t>
      </w:r>
      <w:r>
        <w:rPr>
          <w:i/>
          <w:szCs w:val="21"/>
        </w:rPr>
        <w:t xml:space="preserve"> change within the same SN. The security key issue caused by the switch back to the previous/same candidate cell can be avoided.</w:t>
      </w:r>
    </w:p>
    <w:p>
      <w:pPr>
        <w:rPr>
          <w:i/>
          <w:szCs w:val="21"/>
        </w:rPr>
      </w:pPr>
      <w:r>
        <w:rPr>
          <w:i/>
          <w:szCs w:val="21"/>
        </w:rPr>
        <w:t xml:space="preserve">Observation 3: For intra-SN CPC, the generation and interaction on execution conditions for the subsequent </w:t>
      </w:r>
      <w:r>
        <w:rPr>
          <w:rFonts w:hint="eastAsia"/>
          <w:i/>
          <w:szCs w:val="21"/>
          <w:lang w:val="en-US" w:eastAsia="zh-CN"/>
        </w:rPr>
        <w:t>SCG</w:t>
      </w:r>
      <w:r>
        <w:rPr>
          <w:i/>
          <w:szCs w:val="21"/>
        </w:rPr>
        <w:t xml:space="preserve"> change within the same SN is easier, compared to inter-SN CPC case.</w:t>
      </w:r>
    </w:p>
    <w:p>
      <w:pPr>
        <w:rPr>
          <w:b/>
          <w:szCs w:val="21"/>
        </w:rPr>
      </w:pPr>
      <w:r>
        <w:rPr>
          <w:b/>
          <w:szCs w:val="21"/>
        </w:rPr>
        <w:t xml:space="preserve">Proposal </w:t>
      </w:r>
      <w:r>
        <w:rPr>
          <w:rFonts w:hint="eastAsia"/>
          <w:b/>
          <w:szCs w:val="21"/>
          <w:lang w:val="en-US" w:eastAsia="zh-CN"/>
        </w:rPr>
        <w:t>1</w:t>
      </w:r>
      <w:r>
        <w:rPr>
          <w:b/>
          <w:szCs w:val="21"/>
        </w:rPr>
        <w:t>: RAN2 considers all types of CPC to be applicable for the subsequent conditional SCG change</w:t>
      </w:r>
      <w:r>
        <w:rPr>
          <w:rFonts w:hint="eastAsia"/>
          <w:b/>
          <w:szCs w:val="21"/>
          <w:lang w:val="en-US" w:eastAsia="zh-CN"/>
        </w:rPr>
        <w:t xml:space="preserve"> </w:t>
      </w:r>
      <w:r>
        <w:rPr>
          <w:b/>
          <w:szCs w:val="21"/>
        </w:rPr>
        <w:t>with the following priorit</w:t>
      </w:r>
      <w:r>
        <w:rPr>
          <w:rFonts w:hint="eastAsia"/>
          <w:b/>
          <w:szCs w:val="21"/>
          <w:lang w:val="en-US" w:eastAsia="zh-CN"/>
        </w:rPr>
        <w:t>ies</w:t>
      </w:r>
      <w:r>
        <w:rPr>
          <w:b/>
          <w:szCs w:val="21"/>
        </w:rPr>
        <w:t>:</w:t>
      </w:r>
    </w:p>
    <w:p>
      <w:pPr>
        <w:rPr>
          <w:rFonts w:hint="default" w:eastAsiaTheme="minorEastAsia"/>
          <w:b/>
          <w:szCs w:val="21"/>
          <w:lang w:val="en-US" w:eastAsia="zh-CN"/>
        </w:rPr>
      </w:pPr>
      <w:r>
        <w:rPr>
          <w:b/>
          <w:szCs w:val="21"/>
        </w:rPr>
        <w:t>a.</w:t>
      </w:r>
      <w:r>
        <w:rPr>
          <w:b/>
          <w:szCs w:val="21"/>
        </w:rPr>
        <w:tab/>
      </w:r>
      <w:r>
        <w:rPr>
          <w:b/>
          <w:szCs w:val="21"/>
        </w:rPr>
        <w:t>SN initiated intra-SN CPC</w:t>
      </w:r>
      <w:r>
        <w:rPr>
          <w:rFonts w:hint="eastAsia"/>
          <w:b/>
          <w:szCs w:val="21"/>
          <w:lang w:val="en-US" w:eastAsia="zh-CN"/>
        </w:rPr>
        <w:t xml:space="preserve"> - high priority</w:t>
      </w:r>
    </w:p>
    <w:p>
      <w:pPr>
        <w:rPr>
          <w:rFonts w:hint="default" w:eastAsiaTheme="minorEastAsia"/>
          <w:b/>
          <w:szCs w:val="21"/>
          <w:lang w:val="en-US" w:eastAsia="zh-CN"/>
        </w:rPr>
      </w:pPr>
      <w:r>
        <w:rPr>
          <w:b/>
          <w:szCs w:val="21"/>
        </w:rPr>
        <w:t>b.</w:t>
      </w:r>
      <w:r>
        <w:rPr>
          <w:b/>
          <w:szCs w:val="21"/>
        </w:rPr>
        <w:tab/>
      </w:r>
      <w:r>
        <w:rPr>
          <w:b/>
          <w:szCs w:val="21"/>
        </w:rPr>
        <w:t>SN initiated inter-SN CPC</w:t>
      </w:r>
      <w:r>
        <w:rPr>
          <w:rFonts w:hint="eastAsia"/>
          <w:b/>
          <w:szCs w:val="21"/>
          <w:lang w:val="en-US" w:eastAsia="zh-CN"/>
        </w:rPr>
        <w:t xml:space="preserve"> - medium priority</w:t>
      </w:r>
    </w:p>
    <w:p>
      <w:pPr>
        <w:rPr>
          <w:b/>
          <w:szCs w:val="21"/>
        </w:rPr>
      </w:pPr>
      <w:r>
        <w:rPr>
          <w:b/>
          <w:szCs w:val="21"/>
        </w:rPr>
        <w:t>c.</w:t>
      </w:r>
      <w:r>
        <w:rPr>
          <w:b/>
          <w:szCs w:val="21"/>
        </w:rPr>
        <w:tab/>
      </w:r>
      <w:r>
        <w:rPr>
          <w:b/>
          <w:szCs w:val="21"/>
        </w:rPr>
        <w:t>MN initiated inter-SN CPC</w:t>
      </w:r>
      <w:r>
        <w:rPr>
          <w:rFonts w:hint="eastAsia"/>
          <w:b/>
          <w:szCs w:val="21"/>
          <w:lang w:val="en-US" w:eastAsia="zh-CN"/>
        </w:rPr>
        <w:t xml:space="preserve"> - low priority </w:t>
      </w:r>
    </w:p>
    <w:p>
      <w:pPr>
        <w:rPr>
          <w:szCs w:val="21"/>
        </w:rPr>
      </w:pPr>
      <w:r>
        <w:rPr>
          <w:i/>
          <w:szCs w:val="21"/>
        </w:rPr>
        <w:t>Observation 4: The support of subsequent conditional MCG change shares the same benefits as SCG change in FR2 scenario. No much extra work is required to support MCG change once the work on SCG change is completed, considering that the overall procedure for CHO and CPC is similar.</w:t>
      </w:r>
    </w:p>
    <w:p>
      <w:pPr>
        <w:rPr>
          <w:b/>
          <w:szCs w:val="21"/>
        </w:rPr>
      </w:pPr>
      <w:r>
        <w:rPr>
          <w:b/>
          <w:szCs w:val="21"/>
        </w:rPr>
        <w:t xml:space="preserve">Proposal </w:t>
      </w:r>
      <w:r>
        <w:rPr>
          <w:rFonts w:hint="eastAsia"/>
          <w:b/>
          <w:szCs w:val="21"/>
          <w:lang w:val="en-US" w:eastAsia="zh-CN"/>
        </w:rPr>
        <w:t>2</w:t>
      </w:r>
      <w:r>
        <w:rPr>
          <w:b/>
          <w:szCs w:val="21"/>
        </w:rPr>
        <w:t xml:space="preserve">: RAN2 also considers to support subsequent conditional MCG change after a normal or conditional cell group change, at least for intra-CU MCG change </w:t>
      </w:r>
      <w:r>
        <w:rPr>
          <w:rFonts w:hint="eastAsia"/>
          <w:b/>
          <w:szCs w:val="21"/>
          <w:lang w:val="en-US" w:eastAsia="zh-CN"/>
        </w:rPr>
        <w:t>without SN involvement</w:t>
      </w:r>
      <w:r>
        <w:rPr>
          <w:b/>
          <w:szCs w:val="21"/>
        </w:rPr>
        <w:t>.</w:t>
      </w:r>
    </w:p>
    <w:p>
      <w:pPr>
        <w:rPr>
          <w:i/>
          <w:iCs/>
          <w:szCs w:val="21"/>
        </w:rPr>
      </w:pPr>
      <w:r>
        <w:rPr>
          <w:rFonts w:hint="eastAsia"/>
          <w:i/>
          <w:iCs/>
          <w:szCs w:val="21"/>
        </w:rPr>
        <w:t xml:space="preserve">Observation </w:t>
      </w:r>
      <w:r>
        <w:rPr>
          <w:i/>
          <w:iCs/>
          <w:szCs w:val="21"/>
        </w:rPr>
        <w:t>5</w:t>
      </w:r>
      <w:r>
        <w:rPr>
          <w:rFonts w:hint="eastAsia"/>
          <w:i/>
          <w:iCs/>
          <w:szCs w:val="21"/>
        </w:rPr>
        <w:t xml:space="preserve">: In case that the candidate </w:t>
      </w:r>
      <w:r>
        <w:rPr>
          <w:i/>
          <w:iCs/>
          <w:szCs w:val="21"/>
        </w:rPr>
        <w:t>cell group</w:t>
      </w:r>
      <w:r>
        <w:rPr>
          <w:rFonts w:hint="eastAsia"/>
          <w:i/>
          <w:iCs/>
          <w:szCs w:val="21"/>
        </w:rPr>
        <w:t xml:space="preserve"> configuration is the delta configuration based on the source configuration, the stored candidate </w:t>
      </w:r>
      <w:r>
        <w:rPr>
          <w:i/>
          <w:iCs/>
          <w:szCs w:val="21"/>
        </w:rPr>
        <w:t>cell group</w:t>
      </w:r>
      <w:r>
        <w:rPr>
          <w:rFonts w:hint="eastAsia"/>
          <w:i/>
          <w:iCs/>
          <w:szCs w:val="21"/>
        </w:rPr>
        <w:t xml:space="preserve"> configuration</w:t>
      </w:r>
      <w:r>
        <w:rPr>
          <w:i/>
          <w:iCs/>
          <w:szCs w:val="21"/>
        </w:rPr>
        <w:t>s</w:t>
      </w:r>
      <w:r>
        <w:rPr>
          <w:rFonts w:hint="eastAsia"/>
          <w:i/>
          <w:iCs/>
          <w:szCs w:val="21"/>
        </w:rPr>
        <w:t xml:space="preserve"> may become invalid after completion of one </w:t>
      </w:r>
      <w:r>
        <w:rPr>
          <w:i/>
          <w:iCs/>
          <w:szCs w:val="21"/>
        </w:rPr>
        <w:t>cell group addition or</w:t>
      </w:r>
      <w:r>
        <w:rPr>
          <w:rFonts w:hint="eastAsia"/>
          <w:i/>
          <w:iCs/>
          <w:szCs w:val="21"/>
        </w:rPr>
        <w:t xml:space="preserve"> change. </w:t>
      </w:r>
    </w:p>
    <w:p>
      <w:pPr>
        <w:rPr>
          <w:b/>
          <w:szCs w:val="21"/>
        </w:rPr>
      </w:pPr>
      <w:r>
        <w:rPr>
          <w:b/>
          <w:szCs w:val="21"/>
        </w:rPr>
        <w:t xml:space="preserve">Proposal </w:t>
      </w:r>
      <w:r>
        <w:rPr>
          <w:rFonts w:hint="eastAsia"/>
          <w:b/>
          <w:szCs w:val="21"/>
          <w:lang w:val="en-US" w:eastAsia="zh-CN"/>
        </w:rPr>
        <w:t>3</w:t>
      </w:r>
      <w:r>
        <w:rPr>
          <w:b/>
          <w:szCs w:val="21"/>
        </w:rPr>
        <w:t xml:space="preserve">: The NW indicates which configuration to be used as the baseline/reference configuration for the delta configuration of candidate cell group configurations, e.g. the source configuration or any other </w:t>
      </w:r>
      <w:r>
        <w:rPr>
          <w:rFonts w:hint="eastAsia"/>
          <w:b/>
          <w:szCs w:val="21"/>
          <w:lang w:val="en-US" w:eastAsia="zh-CN"/>
        </w:rPr>
        <w:t>reference</w:t>
      </w:r>
      <w:r>
        <w:rPr>
          <w:b/>
          <w:szCs w:val="21"/>
        </w:rPr>
        <w:t xml:space="preserve"> cell group configuration.</w:t>
      </w:r>
    </w:p>
    <w:p>
      <w:pPr>
        <w:rPr>
          <w:b/>
          <w:szCs w:val="21"/>
        </w:rPr>
      </w:pPr>
      <w:r>
        <w:rPr>
          <w:b/>
          <w:szCs w:val="21"/>
        </w:rPr>
        <w:t xml:space="preserve">Proposal </w:t>
      </w:r>
      <w:r>
        <w:rPr>
          <w:rFonts w:hint="eastAsia"/>
          <w:b/>
          <w:szCs w:val="21"/>
          <w:lang w:val="en-US" w:eastAsia="zh-CN"/>
        </w:rPr>
        <w:t>4</w:t>
      </w:r>
      <w:r>
        <w:rPr>
          <w:b/>
          <w:szCs w:val="21"/>
        </w:rPr>
        <w:t xml:space="preserve">: The </w:t>
      </w:r>
      <w:r>
        <w:rPr>
          <w:rFonts w:hint="eastAsia"/>
          <w:b/>
          <w:szCs w:val="21"/>
        </w:rPr>
        <w:t xml:space="preserve">UE </w:t>
      </w:r>
      <w:r>
        <w:rPr>
          <w:b/>
          <w:szCs w:val="21"/>
        </w:rPr>
        <w:t xml:space="preserve">always </w:t>
      </w:r>
      <w:r>
        <w:rPr>
          <w:rFonts w:hint="eastAsia"/>
          <w:b/>
          <w:szCs w:val="21"/>
        </w:rPr>
        <w:t>store</w:t>
      </w:r>
      <w:r>
        <w:rPr>
          <w:b/>
          <w:szCs w:val="21"/>
        </w:rPr>
        <w:t>s</w:t>
      </w:r>
      <w:r>
        <w:rPr>
          <w:rFonts w:hint="eastAsia"/>
          <w:b/>
          <w:szCs w:val="21"/>
        </w:rPr>
        <w:t xml:space="preserve"> the baseline</w:t>
      </w:r>
      <w:r>
        <w:rPr>
          <w:b/>
          <w:szCs w:val="21"/>
        </w:rPr>
        <w:t>/</w:t>
      </w:r>
      <w:r>
        <w:rPr>
          <w:rFonts w:hint="eastAsia"/>
          <w:b/>
          <w:szCs w:val="21"/>
        </w:rPr>
        <w:t>reference configuration</w:t>
      </w:r>
      <w:r>
        <w:rPr>
          <w:b/>
          <w:szCs w:val="21"/>
        </w:rPr>
        <w:t xml:space="preserve">, and applies the candidate cell group configuration based on the </w:t>
      </w:r>
      <w:r>
        <w:rPr>
          <w:rFonts w:hint="eastAsia"/>
          <w:b/>
          <w:szCs w:val="21"/>
        </w:rPr>
        <w:t>baseline</w:t>
      </w:r>
      <w:r>
        <w:rPr>
          <w:b/>
          <w:szCs w:val="21"/>
        </w:rPr>
        <w:t>/</w:t>
      </w:r>
      <w:r>
        <w:rPr>
          <w:rFonts w:hint="eastAsia"/>
          <w:b/>
          <w:szCs w:val="21"/>
        </w:rPr>
        <w:t>reference configuration</w:t>
      </w:r>
      <w:r>
        <w:rPr>
          <w:b/>
          <w:szCs w:val="21"/>
        </w:rPr>
        <w:t xml:space="preserve"> upon the execution of cell group change.</w:t>
      </w:r>
    </w:p>
    <w:p>
      <w:pPr>
        <w:rPr>
          <w:b/>
          <w:szCs w:val="21"/>
        </w:rPr>
      </w:pPr>
      <w:r>
        <w:rPr>
          <w:b/>
          <w:szCs w:val="21"/>
        </w:rPr>
        <w:t xml:space="preserve">Proposal </w:t>
      </w:r>
      <w:r>
        <w:rPr>
          <w:rFonts w:hint="eastAsia"/>
          <w:b/>
          <w:szCs w:val="21"/>
          <w:lang w:val="en-US" w:eastAsia="zh-CN"/>
        </w:rPr>
        <w:t>5</w:t>
      </w:r>
      <w:r>
        <w:rPr>
          <w:b/>
          <w:szCs w:val="21"/>
        </w:rPr>
        <w:t xml:space="preserve">: The NW </w:t>
      </w:r>
      <w:r>
        <w:rPr>
          <w:rFonts w:hint="eastAsia"/>
          <w:b/>
          <w:szCs w:val="21"/>
          <w:lang w:val="en-US" w:eastAsia="zh-CN"/>
        </w:rPr>
        <w:t xml:space="preserve">explicitly </w:t>
      </w:r>
      <w:r>
        <w:rPr>
          <w:b/>
          <w:szCs w:val="21"/>
        </w:rPr>
        <w:t xml:space="preserve">indicates </w:t>
      </w:r>
      <w:r>
        <w:rPr>
          <w:rFonts w:hint="eastAsia"/>
          <w:b/>
          <w:szCs w:val="21"/>
          <w:lang w:val="en-US" w:eastAsia="zh-CN"/>
        </w:rPr>
        <w:t>which</w:t>
      </w:r>
      <w:r>
        <w:rPr>
          <w:b/>
          <w:szCs w:val="21"/>
        </w:rPr>
        <w:t xml:space="preserve"> candidate cell group configurations </w:t>
      </w:r>
      <w:r>
        <w:rPr>
          <w:rFonts w:hint="eastAsia"/>
          <w:b/>
          <w:szCs w:val="21"/>
          <w:lang w:val="en-US" w:eastAsia="zh-CN"/>
        </w:rPr>
        <w:t xml:space="preserve">to be maintained </w:t>
      </w:r>
      <w:r>
        <w:rPr>
          <w:b/>
          <w:szCs w:val="21"/>
        </w:rPr>
        <w:t xml:space="preserve">after completion of a normal or conditional cell group addition/change. </w:t>
      </w:r>
    </w:p>
    <w:p>
      <w:pPr>
        <w:rPr>
          <w:szCs w:val="21"/>
        </w:rPr>
      </w:pPr>
      <w:r>
        <w:rPr>
          <w:b/>
          <w:szCs w:val="21"/>
        </w:rPr>
        <w:t xml:space="preserve">Proposal </w:t>
      </w:r>
      <w:r>
        <w:rPr>
          <w:rFonts w:hint="eastAsia"/>
          <w:b/>
          <w:szCs w:val="21"/>
          <w:lang w:val="en-US" w:eastAsia="zh-CN"/>
        </w:rPr>
        <w:t>6</w:t>
      </w:r>
      <w:r>
        <w:rPr>
          <w:b/>
          <w:szCs w:val="21"/>
        </w:rPr>
        <w:t>: For subsequent conditional SCG change, the MN decides execution conditions for the subsequent MN initiated CPC. The (target) SN decides execution conditions for the subsequent SN initiated CPC.</w:t>
      </w:r>
    </w:p>
    <w:p>
      <w:pPr>
        <w:rPr>
          <w:rFonts w:hint="default" w:eastAsiaTheme="minorEastAsia"/>
          <w:szCs w:val="21"/>
          <w:lang w:val="en-US" w:eastAsia="zh-CN"/>
        </w:rPr>
      </w:pPr>
      <w:r>
        <w:rPr>
          <w:rFonts w:hint="eastAsia"/>
          <w:i/>
          <w:iCs/>
          <w:szCs w:val="21"/>
        </w:rPr>
        <w:t xml:space="preserve">Observation </w:t>
      </w:r>
      <w:r>
        <w:rPr>
          <w:rFonts w:hint="eastAsia"/>
          <w:i/>
          <w:iCs/>
          <w:szCs w:val="21"/>
          <w:lang w:val="en-US" w:eastAsia="zh-CN"/>
        </w:rPr>
        <w:t>6</w:t>
      </w:r>
      <w:r>
        <w:rPr>
          <w:rFonts w:hint="eastAsia"/>
          <w:i/>
          <w:iCs/>
          <w:szCs w:val="21"/>
        </w:rPr>
        <w:t xml:space="preserve">: </w:t>
      </w:r>
      <w:r>
        <w:rPr>
          <w:rFonts w:hint="eastAsia"/>
          <w:i/>
          <w:iCs/>
          <w:szCs w:val="21"/>
          <w:lang w:val="en-US" w:eastAsia="zh-CN"/>
        </w:rPr>
        <w:t>To support subsequent CPC, the additional and complicated inter-node interaction between MN and each candidate SN may be required during CPAC preparation phase, to interact all prepared candidate PSCells information and subsequent execution conditions for each candidate PSCell.</w:t>
      </w:r>
    </w:p>
    <w:p>
      <w:pPr>
        <w:rPr>
          <w:b/>
          <w:szCs w:val="21"/>
        </w:rPr>
      </w:pPr>
      <w:r>
        <w:rPr>
          <w:b/>
          <w:szCs w:val="21"/>
        </w:rPr>
        <w:t xml:space="preserve">Proposal </w:t>
      </w:r>
      <w:r>
        <w:rPr>
          <w:rFonts w:hint="eastAsia"/>
          <w:b/>
          <w:szCs w:val="21"/>
          <w:lang w:val="en-US" w:eastAsia="zh-CN"/>
        </w:rPr>
        <w:t>7</w:t>
      </w:r>
      <w:r>
        <w:rPr>
          <w:b/>
          <w:szCs w:val="21"/>
        </w:rPr>
        <w:t>: RAN2 discusses how to provide execution conditions for subsequent cell group changes. Two options can be considered:</w:t>
      </w:r>
    </w:p>
    <w:p>
      <w:pPr>
        <w:pStyle w:val="284"/>
        <w:numPr>
          <w:ilvl w:val="0"/>
          <w:numId w:val="7"/>
        </w:numPr>
        <w:ind w:firstLineChars="0"/>
        <w:rPr>
          <w:b/>
          <w:szCs w:val="21"/>
        </w:rPr>
      </w:pPr>
      <w:r>
        <w:rPr>
          <w:b/>
          <w:szCs w:val="21"/>
        </w:rPr>
        <w:t>Option 1: The NW pre-configures execution conditions for subsequent cell group changes when preparing candidate cell group configurations;</w:t>
      </w:r>
    </w:p>
    <w:p>
      <w:pPr>
        <w:pStyle w:val="284"/>
        <w:numPr>
          <w:ilvl w:val="0"/>
          <w:numId w:val="7"/>
        </w:numPr>
        <w:ind w:firstLineChars="0"/>
        <w:rPr>
          <w:b/>
          <w:szCs w:val="21"/>
        </w:rPr>
      </w:pPr>
      <w:r>
        <w:rPr>
          <w:rFonts w:hint="eastAsia"/>
          <w:b/>
          <w:szCs w:val="21"/>
        </w:rPr>
        <w:t>O</w:t>
      </w:r>
      <w:r>
        <w:rPr>
          <w:b/>
          <w:szCs w:val="21"/>
        </w:rPr>
        <w:t>ption 2: The NW updates execution conditions for subsequent cell group changes after completion of one cell group addition or change.</w:t>
      </w:r>
    </w:p>
    <w:p>
      <w:pPr>
        <w:rPr>
          <w:szCs w:val="21"/>
        </w:rPr>
      </w:pPr>
      <w:r>
        <w:rPr>
          <w:b/>
          <w:szCs w:val="21"/>
        </w:rPr>
        <w:t xml:space="preserve">Proposal </w:t>
      </w:r>
      <w:r>
        <w:rPr>
          <w:rFonts w:hint="eastAsia"/>
          <w:b/>
          <w:szCs w:val="21"/>
          <w:lang w:val="en-US" w:eastAsia="zh-CN"/>
        </w:rPr>
        <w:t>8</w:t>
      </w:r>
      <w:r>
        <w:rPr>
          <w:b/>
          <w:szCs w:val="21"/>
        </w:rPr>
        <w:t xml:space="preserve">: It could be up to the NW implementation how many subsequent conditional changes are targeted, e.g. the NW can explicitly release all stored candidate cell group configurations if subsequent conditional changes are not required </w:t>
      </w:r>
      <w:r>
        <w:rPr>
          <w:rFonts w:hint="eastAsia"/>
          <w:b/>
          <w:szCs w:val="21"/>
          <w:lang w:val="en-US" w:eastAsia="zh-CN"/>
        </w:rPr>
        <w:t>any more</w:t>
      </w:r>
      <w:r>
        <w:rPr>
          <w:b/>
          <w:szCs w:val="21"/>
        </w:rPr>
        <w:t>.</w:t>
      </w:r>
    </w:p>
    <w:p>
      <w:pPr>
        <w:rPr>
          <w:i/>
          <w:iCs/>
          <w:szCs w:val="21"/>
        </w:rPr>
      </w:pPr>
      <w:r>
        <w:rPr>
          <w:rFonts w:hint="eastAsia"/>
          <w:i/>
          <w:iCs/>
          <w:szCs w:val="21"/>
        </w:rPr>
        <w:t xml:space="preserve">Observation </w:t>
      </w:r>
      <w:r>
        <w:rPr>
          <w:rFonts w:hint="eastAsia"/>
          <w:i/>
          <w:iCs/>
          <w:szCs w:val="21"/>
          <w:lang w:val="en-US" w:eastAsia="zh-CN"/>
        </w:rPr>
        <w:t>7</w:t>
      </w:r>
      <w:r>
        <w:rPr>
          <w:rFonts w:hint="eastAsia"/>
          <w:i/>
          <w:iCs/>
          <w:szCs w:val="21"/>
        </w:rPr>
        <w:t xml:space="preserve">: </w:t>
      </w:r>
      <w:r>
        <w:rPr>
          <w:i/>
          <w:iCs/>
          <w:szCs w:val="21"/>
        </w:rPr>
        <w:t>For</w:t>
      </w:r>
      <w:r>
        <w:rPr>
          <w:rFonts w:hint="eastAsia"/>
          <w:i/>
          <w:iCs/>
          <w:szCs w:val="21"/>
        </w:rPr>
        <w:t xml:space="preserve"> </w:t>
      </w:r>
      <w:r>
        <w:rPr>
          <w:i/>
          <w:iCs/>
          <w:szCs w:val="21"/>
        </w:rPr>
        <w:t>the cell group</w:t>
      </w:r>
      <w:r>
        <w:rPr>
          <w:rFonts w:hint="eastAsia"/>
          <w:i/>
          <w:iCs/>
          <w:szCs w:val="21"/>
        </w:rPr>
        <w:t xml:space="preserve"> change across CUs (</w:t>
      </w:r>
      <w:r>
        <w:rPr>
          <w:i/>
          <w:iCs/>
          <w:szCs w:val="21"/>
        </w:rPr>
        <w:t>e.g. inter-SN CPC</w:t>
      </w:r>
      <w:r>
        <w:rPr>
          <w:rFonts w:hint="eastAsia"/>
          <w:i/>
          <w:iCs/>
          <w:szCs w:val="21"/>
        </w:rPr>
        <w:t xml:space="preserve">), </w:t>
      </w:r>
      <w:r>
        <w:rPr>
          <w:i/>
          <w:iCs/>
          <w:szCs w:val="21"/>
        </w:rPr>
        <w:t>when the UE switches back to the previous cell</w:t>
      </w:r>
      <w:r>
        <w:rPr>
          <w:rFonts w:hint="eastAsia"/>
          <w:i/>
          <w:iCs/>
          <w:szCs w:val="21"/>
        </w:rPr>
        <w:t xml:space="preserve">, the security key refresh for candidate </w:t>
      </w:r>
      <w:r>
        <w:rPr>
          <w:i/>
          <w:iCs/>
          <w:szCs w:val="21"/>
        </w:rPr>
        <w:t>cell groups</w:t>
      </w:r>
      <w:r>
        <w:rPr>
          <w:rFonts w:hint="eastAsia"/>
          <w:i/>
          <w:iCs/>
          <w:szCs w:val="21"/>
        </w:rPr>
        <w:t xml:space="preserve"> </w:t>
      </w:r>
      <w:r>
        <w:rPr>
          <w:rFonts w:hint="eastAsia"/>
          <w:i/>
          <w:iCs/>
          <w:szCs w:val="21"/>
          <w:lang w:val="en-US" w:eastAsia="zh-CN"/>
        </w:rPr>
        <w:t>is required</w:t>
      </w:r>
      <w:r>
        <w:rPr>
          <w:i/>
          <w:iCs/>
          <w:szCs w:val="21"/>
        </w:rPr>
        <w:t>,</w:t>
      </w:r>
      <w:r>
        <w:rPr>
          <w:rFonts w:hint="eastAsia"/>
          <w:i/>
          <w:iCs/>
          <w:szCs w:val="21"/>
        </w:rPr>
        <w:t xml:space="preserve"> to avoid the security issue </w:t>
      </w:r>
      <w:r>
        <w:rPr>
          <w:i/>
          <w:iCs/>
          <w:szCs w:val="21"/>
        </w:rPr>
        <w:t>caused by</w:t>
      </w:r>
      <w:r>
        <w:rPr>
          <w:rFonts w:hint="eastAsia"/>
          <w:i/>
          <w:iCs/>
          <w:szCs w:val="21"/>
        </w:rPr>
        <w:t xml:space="preserve"> the reuse of the same key+COUNT+RB</w:t>
      </w:r>
      <w:r>
        <w:rPr>
          <w:i/>
          <w:iCs/>
          <w:szCs w:val="21"/>
        </w:rPr>
        <w:t xml:space="preserve"> ID</w:t>
      </w:r>
      <w:r>
        <w:rPr>
          <w:rFonts w:hint="eastAsia"/>
          <w:i/>
          <w:iCs/>
          <w:szCs w:val="21"/>
        </w:rPr>
        <w:t xml:space="preserve">. </w:t>
      </w:r>
    </w:p>
    <w:p>
      <w:pPr>
        <w:rPr>
          <w:szCs w:val="21"/>
        </w:rPr>
      </w:pPr>
      <w:r>
        <w:rPr>
          <w:rFonts w:hint="eastAsia"/>
          <w:i/>
          <w:iCs/>
          <w:szCs w:val="21"/>
        </w:rPr>
        <w:t xml:space="preserve">Observation </w:t>
      </w:r>
      <w:r>
        <w:rPr>
          <w:rFonts w:hint="eastAsia"/>
          <w:i/>
          <w:iCs/>
          <w:szCs w:val="21"/>
          <w:lang w:val="en-US" w:eastAsia="zh-CN"/>
        </w:rPr>
        <w:t>8</w:t>
      </w:r>
      <w:r>
        <w:rPr>
          <w:rFonts w:hint="eastAsia"/>
          <w:i/>
          <w:iCs/>
          <w:szCs w:val="21"/>
        </w:rPr>
        <w:t>:</w:t>
      </w:r>
      <w:r>
        <w:rPr>
          <w:i/>
          <w:iCs/>
          <w:szCs w:val="21"/>
        </w:rPr>
        <w:t xml:space="preserve"> Based on the current security specs, the sk-counter should be monotonically increased by the MN for each additional calculated K</w:t>
      </w:r>
      <w:r>
        <w:rPr>
          <w:i/>
          <w:iCs/>
          <w:szCs w:val="21"/>
          <w:vertAlign w:val="subscript"/>
        </w:rPr>
        <w:t>SN</w:t>
      </w:r>
      <w:r>
        <w:rPr>
          <w:i/>
          <w:iCs/>
          <w:szCs w:val="21"/>
        </w:rPr>
        <w:t>. However, it shall be difficult to obey the principle on monotonically increment of sk-Counter when the NW pre-configures sk-counter for each candidate configuration since the subsequent conditional SCG change performed by the UE is unpredictable.</w:t>
      </w:r>
    </w:p>
    <w:p>
      <w:pPr>
        <w:rPr>
          <w:b/>
          <w:szCs w:val="21"/>
        </w:rPr>
      </w:pPr>
      <w:r>
        <w:rPr>
          <w:rFonts w:hint="eastAsia"/>
          <w:b/>
          <w:szCs w:val="21"/>
        </w:rPr>
        <w:t>P</w:t>
      </w:r>
      <w:r>
        <w:rPr>
          <w:b/>
          <w:szCs w:val="21"/>
        </w:rPr>
        <w:t xml:space="preserve">roposal </w:t>
      </w:r>
      <w:r>
        <w:rPr>
          <w:rFonts w:hint="eastAsia"/>
          <w:b/>
          <w:szCs w:val="21"/>
          <w:lang w:val="en-US" w:eastAsia="zh-CN"/>
        </w:rPr>
        <w:t>9</w:t>
      </w:r>
      <w:r>
        <w:rPr>
          <w:b/>
          <w:szCs w:val="21"/>
        </w:rPr>
        <w:t>: RAN2 ask</w:t>
      </w:r>
      <w:r>
        <w:rPr>
          <w:rFonts w:hint="eastAsia"/>
          <w:b/>
          <w:szCs w:val="21"/>
        </w:rPr>
        <w:t>s</w:t>
      </w:r>
      <w:r>
        <w:rPr>
          <w:b/>
          <w:szCs w:val="21"/>
        </w:rPr>
        <w:t xml:space="preserve"> SA3 to discuss the following security issues in subsequent conditional </w:t>
      </w:r>
      <w:r>
        <w:rPr>
          <w:rFonts w:hint="eastAsia"/>
          <w:b/>
          <w:szCs w:val="21"/>
          <w:lang w:val="en-US" w:eastAsia="zh-CN"/>
        </w:rPr>
        <w:t xml:space="preserve">cell group </w:t>
      </w:r>
      <w:r>
        <w:rPr>
          <w:b/>
          <w:szCs w:val="21"/>
        </w:rPr>
        <w:t>changes across CUs (e.g. subsequent inter-SN CPC):</w:t>
      </w:r>
    </w:p>
    <w:p>
      <w:pPr>
        <w:pStyle w:val="284"/>
        <w:numPr>
          <w:ilvl w:val="0"/>
          <w:numId w:val="10"/>
        </w:numPr>
        <w:ind w:firstLineChars="0"/>
        <w:rPr>
          <w:b/>
          <w:szCs w:val="21"/>
        </w:rPr>
      </w:pPr>
      <w:r>
        <w:rPr>
          <w:b/>
          <w:szCs w:val="21"/>
        </w:rPr>
        <w:t>How to refresh the security key when the UE switches back to the same/previous candidate cell with the reuse of security parameters, e.g. sk-counter;</w:t>
      </w:r>
    </w:p>
    <w:p>
      <w:pPr>
        <w:pStyle w:val="284"/>
        <w:numPr>
          <w:ilvl w:val="0"/>
          <w:numId w:val="10"/>
        </w:numPr>
        <w:ind w:firstLineChars="0"/>
        <w:rPr>
          <w:b/>
          <w:szCs w:val="21"/>
        </w:rPr>
      </w:pPr>
      <w:r>
        <w:rPr>
          <w:b/>
          <w:szCs w:val="21"/>
        </w:rPr>
        <w:t>Whether and how to meet the requirement on monotonically increment of sk-</w:t>
      </w:r>
      <w:r>
        <w:rPr>
          <w:rFonts w:hint="eastAsia"/>
          <w:b/>
          <w:szCs w:val="21"/>
          <w:lang w:val="en-US" w:eastAsia="zh-CN"/>
        </w:rPr>
        <w:t>c</w:t>
      </w:r>
      <w:r>
        <w:rPr>
          <w:b/>
          <w:szCs w:val="21"/>
        </w:rPr>
        <w:t>ounter for the subsequent conditional SCG changes.</w:t>
      </w:r>
    </w:p>
    <w:p>
      <w:pPr>
        <w:rPr>
          <w:b/>
          <w:bCs/>
          <w:szCs w:val="21"/>
        </w:rPr>
      </w:pPr>
      <w:r>
        <w:rPr>
          <w:rFonts w:hint="eastAsia"/>
          <w:b/>
          <w:bCs/>
          <w:szCs w:val="21"/>
        </w:rPr>
        <w:t xml:space="preserve">Proposal </w:t>
      </w:r>
      <w:r>
        <w:rPr>
          <w:b/>
          <w:bCs/>
          <w:szCs w:val="21"/>
        </w:rPr>
        <w:t>1</w:t>
      </w:r>
      <w:r>
        <w:rPr>
          <w:rFonts w:hint="eastAsia"/>
          <w:b/>
          <w:bCs/>
          <w:szCs w:val="21"/>
          <w:lang w:val="en-US" w:eastAsia="zh-CN"/>
        </w:rPr>
        <w:t>0</w:t>
      </w:r>
      <w:r>
        <w:rPr>
          <w:rFonts w:hint="eastAsia"/>
          <w:b/>
          <w:bCs/>
          <w:szCs w:val="21"/>
        </w:rPr>
        <w:t xml:space="preserve">: </w:t>
      </w:r>
      <w:r>
        <w:rPr>
          <w:b/>
          <w:bCs/>
          <w:szCs w:val="21"/>
        </w:rPr>
        <w:t>RAN2 also considers</w:t>
      </w:r>
      <w:r>
        <w:rPr>
          <w:rFonts w:hint="eastAsia"/>
          <w:b/>
          <w:bCs/>
          <w:szCs w:val="21"/>
        </w:rPr>
        <w:t xml:space="preserve"> NW based triggering mechanism</w:t>
      </w:r>
      <w:r>
        <w:rPr>
          <w:rFonts w:hint="eastAsia"/>
          <w:b/>
          <w:bCs/>
          <w:szCs w:val="21"/>
          <w:lang w:val="en-US" w:eastAsia="zh-CN"/>
        </w:rPr>
        <w:t xml:space="preserve"> (i.e. triggering by the NW signalling)</w:t>
      </w:r>
      <w:r>
        <w:rPr>
          <w:b/>
          <w:bCs/>
          <w:szCs w:val="21"/>
        </w:rPr>
        <w:t xml:space="preserve"> </w:t>
      </w:r>
      <w:r>
        <w:rPr>
          <w:rFonts w:hint="eastAsia"/>
          <w:b/>
          <w:bCs/>
          <w:szCs w:val="21"/>
          <w:lang w:val="en-US" w:eastAsia="zh-CN"/>
        </w:rPr>
        <w:t>to</w:t>
      </w:r>
      <w:r>
        <w:rPr>
          <w:b/>
          <w:bCs/>
          <w:szCs w:val="21"/>
        </w:rPr>
        <w:t xml:space="preserve"> support the selective activation of cell groups</w:t>
      </w:r>
      <w:r>
        <w:rPr>
          <w:rFonts w:hint="eastAsia"/>
          <w:b/>
          <w:bCs/>
          <w:szCs w:val="21"/>
        </w:rPr>
        <w:t xml:space="preserve">. </w:t>
      </w:r>
    </w:p>
    <w:p>
      <w:pPr>
        <w:rPr>
          <w:rFonts w:hint="eastAsia"/>
          <w:b/>
          <w:bCs/>
          <w:szCs w:val="21"/>
        </w:rPr>
      </w:pPr>
      <w:bookmarkStart w:id="25" w:name="_GoBack"/>
      <w:bookmarkEnd w:id="25"/>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11"/>
        </w:numPr>
        <w:overflowPunct w:val="0"/>
        <w:autoSpaceDE w:val="0"/>
        <w:autoSpaceDN w:val="0"/>
        <w:adjustRightInd w:val="0"/>
        <w:textAlignment w:val="baseline"/>
      </w:pPr>
      <w:bookmarkStart w:id="24" w:name="_Ref71222056"/>
      <w:r>
        <w:rPr>
          <w:rFonts w:hint="eastAsia"/>
        </w:rPr>
        <w:t>R</w:t>
      </w:r>
      <w:r>
        <w:t>AN2#119</w:t>
      </w:r>
      <w:r>
        <w:rPr>
          <w:rFonts w:hint="eastAsia"/>
          <w:lang w:val="en-US" w:eastAsia="zh-CN"/>
        </w:rPr>
        <w:t>bis-</w:t>
      </w:r>
      <w:r>
        <w:t>e Chair Notes</w:t>
      </w:r>
      <w:bookmarkEnd w:id="24"/>
    </w:p>
    <w:p>
      <w:pPr>
        <w:numPr>
          <w:ilvl w:val="0"/>
          <w:numId w:val="11"/>
        </w:numPr>
        <w:overflowPunct w:val="0"/>
        <w:autoSpaceDE w:val="0"/>
        <w:autoSpaceDN w:val="0"/>
        <w:adjustRightInd w:val="0"/>
        <w:textAlignment w:val="baseline"/>
      </w:pPr>
      <w:r>
        <w:rPr>
          <w:rFonts w:hint="eastAsia"/>
        </w:rPr>
        <w:t>T</w:t>
      </w:r>
      <w:r>
        <w:t>S 33.501 v17.7.0</w:t>
      </w:r>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9F36DB1"/>
    <w:multiLevelType w:val="multilevel"/>
    <w:tmpl w:val="09F36D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5A122F1"/>
    <w:multiLevelType w:val="multilevel"/>
    <w:tmpl w:val="35A122F1"/>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F0943B7"/>
    <w:multiLevelType w:val="multilevel"/>
    <w:tmpl w:val="4F0943B7"/>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67279C"/>
    <w:multiLevelType w:val="multilevel"/>
    <w:tmpl w:val="726727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62444FD"/>
    <w:multiLevelType w:val="singleLevel"/>
    <w:tmpl w:val="762444FD"/>
    <w:lvl w:ilvl="0" w:tentative="0">
      <w:start w:val="1"/>
      <w:numFmt w:val="bullet"/>
      <w:lvlText w:val=""/>
      <w:lvlJc w:val="left"/>
      <w:pPr>
        <w:ind w:left="420" w:hanging="420"/>
      </w:pPr>
      <w:rPr>
        <w:rFonts w:hint="default" w:ascii="Wingdings" w:hAnsi="Wingdings"/>
      </w:rPr>
    </w:lvl>
  </w:abstractNum>
  <w:abstractNum w:abstractNumId="10">
    <w:nsid w:val="76597900"/>
    <w:multiLevelType w:val="multilevel"/>
    <w:tmpl w:val="765979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6"/>
  </w:num>
  <w:num w:numId="3">
    <w:abstractNumId w:val="1"/>
  </w:num>
  <w:num w:numId="4">
    <w:abstractNumId w:val="7"/>
  </w:num>
  <w:num w:numId="5">
    <w:abstractNumId w:val="3"/>
  </w:num>
  <w:num w:numId="6">
    <w:abstractNumId w:val="9"/>
  </w:num>
  <w:num w:numId="7">
    <w:abstractNumId w:val="2"/>
  </w:num>
  <w:num w:numId="8">
    <w:abstractNumId w:val="8"/>
  </w:num>
  <w:num w:numId="9">
    <w:abstractNumId w:val="1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056FC"/>
    <w:rsid w:val="000103E7"/>
    <w:rsid w:val="00011CDF"/>
    <w:rsid w:val="00013FAD"/>
    <w:rsid w:val="00016A27"/>
    <w:rsid w:val="000172F4"/>
    <w:rsid w:val="00017BA5"/>
    <w:rsid w:val="00021259"/>
    <w:rsid w:val="00021359"/>
    <w:rsid w:val="000237B1"/>
    <w:rsid w:val="000248FC"/>
    <w:rsid w:val="0002660A"/>
    <w:rsid w:val="00026899"/>
    <w:rsid w:val="0002698B"/>
    <w:rsid w:val="00035EF9"/>
    <w:rsid w:val="00037973"/>
    <w:rsid w:val="0004023D"/>
    <w:rsid w:val="00040427"/>
    <w:rsid w:val="00040A63"/>
    <w:rsid w:val="0004105F"/>
    <w:rsid w:val="00042E6F"/>
    <w:rsid w:val="00043923"/>
    <w:rsid w:val="000563ED"/>
    <w:rsid w:val="000569AB"/>
    <w:rsid w:val="000635B8"/>
    <w:rsid w:val="0007093A"/>
    <w:rsid w:val="0007205B"/>
    <w:rsid w:val="000755A8"/>
    <w:rsid w:val="00076B12"/>
    <w:rsid w:val="0007770D"/>
    <w:rsid w:val="000803CC"/>
    <w:rsid w:val="000804D4"/>
    <w:rsid w:val="0008122E"/>
    <w:rsid w:val="00082CAA"/>
    <w:rsid w:val="000831D8"/>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390B"/>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16135"/>
    <w:rsid w:val="001253A3"/>
    <w:rsid w:val="00125762"/>
    <w:rsid w:val="00126145"/>
    <w:rsid w:val="0012673B"/>
    <w:rsid w:val="001277F8"/>
    <w:rsid w:val="00127AF5"/>
    <w:rsid w:val="00131E4E"/>
    <w:rsid w:val="00131F75"/>
    <w:rsid w:val="0013288E"/>
    <w:rsid w:val="00134275"/>
    <w:rsid w:val="00137B0E"/>
    <w:rsid w:val="00137D4E"/>
    <w:rsid w:val="001413B6"/>
    <w:rsid w:val="00141835"/>
    <w:rsid w:val="00145AFF"/>
    <w:rsid w:val="00147740"/>
    <w:rsid w:val="00150A99"/>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76C"/>
    <w:rsid w:val="001D2914"/>
    <w:rsid w:val="001D2FB0"/>
    <w:rsid w:val="001D4420"/>
    <w:rsid w:val="001E0341"/>
    <w:rsid w:val="001E1C36"/>
    <w:rsid w:val="001E3D8C"/>
    <w:rsid w:val="001E43EF"/>
    <w:rsid w:val="001E44CD"/>
    <w:rsid w:val="001E5F91"/>
    <w:rsid w:val="001E6F40"/>
    <w:rsid w:val="001F0B44"/>
    <w:rsid w:val="001F30BD"/>
    <w:rsid w:val="001F3DF5"/>
    <w:rsid w:val="001F4346"/>
    <w:rsid w:val="001F7FD8"/>
    <w:rsid w:val="00200DAA"/>
    <w:rsid w:val="00201FFE"/>
    <w:rsid w:val="00202C4B"/>
    <w:rsid w:val="00205CC0"/>
    <w:rsid w:val="00206380"/>
    <w:rsid w:val="0021085B"/>
    <w:rsid w:val="00212EB1"/>
    <w:rsid w:val="002155FA"/>
    <w:rsid w:val="00217023"/>
    <w:rsid w:val="002176DE"/>
    <w:rsid w:val="00220022"/>
    <w:rsid w:val="00223B64"/>
    <w:rsid w:val="00224379"/>
    <w:rsid w:val="00227192"/>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BB0"/>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3564"/>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A53"/>
    <w:rsid w:val="0034542E"/>
    <w:rsid w:val="00345FC0"/>
    <w:rsid w:val="003469FC"/>
    <w:rsid w:val="00347800"/>
    <w:rsid w:val="003504B5"/>
    <w:rsid w:val="003542D5"/>
    <w:rsid w:val="003546A6"/>
    <w:rsid w:val="00354915"/>
    <w:rsid w:val="00354E6F"/>
    <w:rsid w:val="003577BE"/>
    <w:rsid w:val="00362FCF"/>
    <w:rsid w:val="0036468F"/>
    <w:rsid w:val="00366993"/>
    <w:rsid w:val="00370E0A"/>
    <w:rsid w:val="00371876"/>
    <w:rsid w:val="00372C00"/>
    <w:rsid w:val="00382FAE"/>
    <w:rsid w:val="003832DC"/>
    <w:rsid w:val="00383D0D"/>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5747"/>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3E66"/>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AC1"/>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159C"/>
    <w:rsid w:val="004E3A45"/>
    <w:rsid w:val="004E3B7D"/>
    <w:rsid w:val="004E3E3E"/>
    <w:rsid w:val="004E5219"/>
    <w:rsid w:val="004E5753"/>
    <w:rsid w:val="004E7F3D"/>
    <w:rsid w:val="004F10CA"/>
    <w:rsid w:val="004F4675"/>
    <w:rsid w:val="004F5495"/>
    <w:rsid w:val="004F557E"/>
    <w:rsid w:val="00501570"/>
    <w:rsid w:val="005017DA"/>
    <w:rsid w:val="0050411A"/>
    <w:rsid w:val="0050619E"/>
    <w:rsid w:val="005069E2"/>
    <w:rsid w:val="00506B0D"/>
    <w:rsid w:val="00506BCB"/>
    <w:rsid w:val="0051029C"/>
    <w:rsid w:val="00511EF0"/>
    <w:rsid w:val="005146EB"/>
    <w:rsid w:val="00514EAD"/>
    <w:rsid w:val="00517623"/>
    <w:rsid w:val="005214BE"/>
    <w:rsid w:val="005219AA"/>
    <w:rsid w:val="00521DC0"/>
    <w:rsid w:val="00522736"/>
    <w:rsid w:val="00525585"/>
    <w:rsid w:val="00525D1A"/>
    <w:rsid w:val="0052657B"/>
    <w:rsid w:val="00533C44"/>
    <w:rsid w:val="00534869"/>
    <w:rsid w:val="00536465"/>
    <w:rsid w:val="005366B9"/>
    <w:rsid w:val="005371D2"/>
    <w:rsid w:val="00537528"/>
    <w:rsid w:val="00540D12"/>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343C"/>
    <w:rsid w:val="005A4048"/>
    <w:rsid w:val="005A53DF"/>
    <w:rsid w:val="005A6185"/>
    <w:rsid w:val="005B052E"/>
    <w:rsid w:val="005B220B"/>
    <w:rsid w:val="005B2E19"/>
    <w:rsid w:val="005B66D2"/>
    <w:rsid w:val="005B7842"/>
    <w:rsid w:val="005C1AC7"/>
    <w:rsid w:val="005C20A4"/>
    <w:rsid w:val="005C2356"/>
    <w:rsid w:val="005C2FE1"/>
    <w:rsid w:val="005C4B5D"/>
    <w:rsid w:val="005C75A2"/>
    <w:rsid w:val="005D3332"/>
    <w:rsid w:val="005D57F1"/>
    <w:rsid w:val="005D680C"/>
    <w:rsid w:val="005E06D3"/>
    <w:rsid w:val="005E27C0"/>
    <w:rsid w:val="005E3AE4"/>
    <w:rsid w:val="005E4F1C"/>
    <w:rsid w:val="005E6D7B"/>
    <w:rsid w:val="005F097D"/>
    <w:rsid w:val="005F1004"/>
    <w:rsid w:val="005F1E34"/>
    <w:rsid w:val="005F1FAE"/>
    <w:rsid w:val="005F42AD"/>
    <w:rsid w:val="005F4A01"/>
    <w:rsid w:val="005F56A6"/>
    <w:rsid w:val="005F5717"/>
    <w:rsid w:val="005F6041"/>
    <w:rsid w:val="005F7060"/>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455B6"/>
    <w:rsid w:val="00645FD4"/>
    <w:rsid w:val="006503F8"/>
    <w:rsid w:val="00650D0F"/>
    <w:rsid w:val="00651856"/>
    <w:rsid w:val="00652024"/>
    <w:rsid w:val="006521E7"/>
    <w:rsid w:val="00653CF4"/>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38A"/>
    <w:rsid w:val="006E7570"/>
    <w:rsid w:val="006F2252"/>
    <w:rsid w:val="006F22E8"/>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470"/>
    <w:rsid w:val="00711E45"/>
    <w:rsid w:val="00712F7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563E"/>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6A80"/>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36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0822"/>
    <w:rsid w:val="00823AF8"/>
    <w:rsid w:val="00826157"/>
    <w:rsid w:val="00835356"/>
    <w:rsid w:val="00836D5A"/>
    <w:rsid w:val="0083795A"/>
    <w:rsid w:val="00837A39"/>
    <w:rsid w:val="00837C9F"/>
    <w:rsid w:val="00840561"/>
    <w:rsid w:val="00840820"/>
    <w:rsid w:val="008408A5"/>
    <w:rsid w:val="00843379"/>
    <w:rsid w:val="008436F0"/>
    <w:rsid w:val="00843DAA"/>
    <w:rsid w:val="00843F40"/>
    <w:rsid w:val="008505B6"/>
    <w:rsid w:val="00850AD1"/>
    <w:rsid w:val="00851A3E"/>
    <w:rsid w:val="00852259"/>
    <w:rsid w:val="008533BB"/>
    <w:rsid w:val="00853419"/>
    <w:rsid w:val="00855CBD"/>
    <w:rsid w:val="00856D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34C2"/>
    <w:rsid w:val="008A4FE1"/>
    <w:rsid w:val="008A5E28"/>
    <w:rsid w:val="008A6A82"/>
    <w:rsid w:val="008B4198"/>
    <w:rsid w:val="008B4609"/>
    <w:rsid w:val="008B725C"/>
    <w:rsid w:val="008C051E"/>
    <w:rsid w:val="008C1D6D"/>
    <w:rsid w:val="008C3F98"/>
    <w:rsid w:val="008C5DBC"/>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79E6"/>
    <w:rsid w:val="0091196A"/>
    <w:rsid w:val="00911DC9"/>
    <w:rsid w:val="00911DE4"/>
    <w:rsid w:val="009123FF"/>
    <w:rsid w:val="009137D1"/>
    <w:rsid w:val="009164CD"/>
    <w:rsid w:val="00917271"/>
    <w:rsid w:val="00922A9F"/>
    <w:rsid w:val="00925478"/>
    <w:rsid w:val="00925A8F"/>
    <w:rsid w:val="00925D8E"/>
    <w:rsid w:val="00926406"/>
    <w:rsid w:val="009269F5"/>
    <w:rsid w:val="00927F14"/>
    <w:rsid w:val="00930CAD"/>
    <w:rsid w:val="00931D1C"/>
    <w:rsid w:val="009400CF"/>
    <w:rsid w:val="00940533"/>
    <w:rsid w:val="009431D5"/>
    <w:rsid w:val="009432FE"/>
    <w:rsid w:val="009438F8"/>
    <w:rsid w:val="00944414"/>
    <w:rsid w:val="00946182"/>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2785"/>
    <w:rsid w:val="009B3DB8"/>
    <w:rsid w:val="009B4769"/>
    <w:rsid w:val="009B5E14"/>
    <w:rsid w:val="009B6B6F"/>
    <w:rsid w:val="009C2086"/>
    <w:rsid w:val="009C2308"/>
    <w:rsid w:val="009C3006"/>
    <w:rsid w:val="009C495C"/>
    <w:rsid w:val="009D159F"/>
    <w:rsid w:val="009D213B"/>
    <w:rsid w:val="009D2864"/>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34B"/>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50"/>
    <w:rsid w:val="00A973F3"/>
    <w:rsid w:val="00AA1064"/>
    <w:rsid w:val="00AA3298"/>
    <w:rsid w:val="00AA41AA"/>
    <w:rsid w:val="00AA6892"/>
    <w:rsid w:val="00AB049C"/>
    <w:rsid w:val="00AB1D7B"/>
    <w:rsid w:val="00AB1EA3"/>
    <w:rsid w:val="00AB3399"/>
    <w:rsid w:val="00AB3D67"/>
    <w:rsid w:val="00AB541E"/>
    <w:rsid w:val="00AC4276"/>
    <w:rsid w:val="00AC44FD"/>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9F8"/>
    <w:rsid w:val="00B22E8C"/>
    <w:rsid w:val="00B23604"/>
    <w:rsid w:val="00B2566A"/>
    <w:rsid w:val="00B304F2"/>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8FC"/>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347C"/>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06F0"/>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10CA"/>
    <w:rsid w:val="00C82D97"/>
    <w:rsid w:val="00C84D14"/>
    <w:rsid w:val="00C86541"/>
    <w:rsid w:val="00C86840"/>
    <w:rsid w:val="00C87363"/>
    <w:rsid w:val="00C9369C"/>
    <w:rsid w:val="00C93A2E"/>
    <w:rsid w:val="00C93EDD"/>
    <w:rsid w:val="00C953EF"/>
    <w:rsid w:val="00C953F6"/>
    <w:rsid w:val="00C96A23"/>
    <w:rsid w:val="00CA0363"/>
    <w:rsid w:val="00CA05FD"/>
    <w:rsid w:val="00CA06A4"/>
    <w:rsid w:val="00CA127C"/>
    <w:rsid w:val="00CA1983"/>
    <w:rsid w:val="00CA501F"/>
    <w:rsid w:val="00CA59FA"/>
    <w:rsid w:val="00CA61CF"/>
    <w:rsid w:val="00CB1749"/>
    <w:rsid w:val="00CB2B43"/>
    <w:rsid w:val="00CB3A9F"/>
    <w:rsid w:val="00CB5048"/>
    <w:rsid w:val="00CC10DA"/>
    <w:rsid w:val="00CC2ECC"/>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EC6"/>
    <w:rsid w:val="00E120F4"/>
    <w:rsid w:val="00E153F6"/>
    <w:rsid w:val="00E15F7E"/>
    <w:rsid w:val="00E173DF"/>
    <w:rsid w:val="00E20BED"/>
    <w:rsid w:val="00E231A7"/>
    <w:rsid w:val="00E279E4"/>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540CF"/>
    <w:rsid w:val="00E61FB3"/>
    <w:rsid w:val="00E62B3D"/>
    <w:rsid w:val="00E6315A"/>
    <w:rsid w:val="00E63942"/>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6EEE"/>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0AD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39C"/>
    <w:rsid w:val="00F73D21"/>
    <w:rsid w:val="00F74ED0"/>
    <w:rsid w:val="00F75B44"/>
    <w:rsid w:val="00F75E64"/>
    <w:rsid w:val="00F81056"/>
    <w:rsid w:val="00F82B72"/>
    <w:rsid w:val="00F83593"/>
    <w:rsid w:val="00F837F7"/>
    <w:rsid w:val="00F86A45"/>
    <w:rsid w:val="00F87C3A"/>
    <w:rsid w:val="00F90E30"/>
    <w:rsid w:val="00F917E4"/>
    <w:rsid w:val="00F91B00"/>
    <w:rsid w:val="00F9424D"/>
    <w:rsid w:val="00F943E7"/>
    <w:rsid w:val="00F94913"/>
    <w:rsid w:val="00F94DFC"/>
    <w:rsid w:val="00F96BAD"/>
    <w:rsid w:val="00FA34B5"/>
    <w:rsid w:val="00FA41A3"/>
    <w:rsid w:val="00FB0158"/>
    <w:rsid w:val="00FB16BC"/>
    <w:rsid w:val="00FB25A0"/>
    <w:rsid w:val="00FB2D7C"/>
    <w:rsid w:val="00FB4258"/>
    <w:rsid w:val="00FB4BD1"/>
    <w:rsid w:val="00FB4F37"/>
    <w:rsid w:val="00FB6077"/>
    <w:rsid w:val="00FB79F1"/>
    <w:rsid w:val="00FB7E5A"/>
    <w:rsid w:val="00FC0927"/>
    <w:rsid w:val="00FC14E6"/>
    <w:rsid w:val="00FC2A98"/>
    <w:rsid w:val="00FC3417"/>
    <w:rsid w:val="00FC6E54"/>
    <w:rsid w:val="00FD06F8"/>
    <w:rsid w:val="00FD33A2"/>
    <w:rsid w:val="00FD3E74"/>
    <w:rsid w:val="00FD6206"/>
    <w:rsid w:val="00FD710E"/>
    <w:rsid w:val="00FE053F"/>
    <w:rsid w:val="00FE09E7"/>
    <w:rsid w:val="00FE2161"/>
    <w:rsid w:val="00FE58B6"/>
    <w:rsid w:val="00FE7430"/>
    <w:rsid w:val="00FF0471"/>
    <w:rsid w:val="00FF0AAD"/>
    <w:rsid w:val="00FF23E5"/>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A2B04"/>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ED1A80"/>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572CB"/>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8F71E0"/>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86589"/>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21CB6"/>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B4BC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0"/>
        <w:numId w:val="0"/>
      </w:numPr>
      <w:tabs>
        <w:tab w:val="left" w:pos="720"/>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51D9C-9652-4611-8DEC-FE7E265148F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3626</Words>
  <Characters>20671</Characters>
  <Lines>172</Lines>
  <Paragraphs>48</Paragraphs>
  <TotalTime>1</TotalTime>
  <ScaleCrop>false</ScaleCrop>
  <LinksUpToDate>false</LinksUpToDate>
  <CharactersWithSpaces>24249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2022-11-04T07:45:31Z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